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F70B" w14:textId="2D15E838" w:rsidR="008D6972" w:rsidRPr="003F39C4" w:rsidRDefault="008D6972" w:rsidP="003F39C4">
      <w:pPr>
        <w:pStyle w:val="Sansinterligne"/>
        <w:rPr>
          <w:b/>
          <w:sz w:val="36"/>
          <w:szCs w:val="36"/>
        </w:rPr>
      </w:pPr>
      <w:r w:rsidRPr="003F39C4">
        <w:rPr>
          <w:b/>
          <w:sz w:val="36"/>
          <w:szCs w:val="36"/>
        </w:rPr>
        <w:t>RAPPEL à la loi</w:t>
      </w:r>
      <w:bookmarkStart w:id="0" w:name="_GoBack"/>
      <w:bookmarkEnd w:id="0"/>
      <w:r w:rsidR="003F39C4">
        <w:rPr>
          <w:sz w:val="36"/>
          <w:szCs w:val="36"/>
        </w:rPr>
        <w:t xml:space="preserve"> </w:t>
      </w:r>
      <w:r w:rsidRPr="003F39C4">
        <w:rPr>
          <w:b/>
          <w:sz w:val="36"/>
          <w:szCs w:val="36"/>
        </w:rPr>
        <w:t>:</w:t>
      </w:r>
    </w:p>
    <w:p w14:paraId="626DF70C" w14:textId="77777777" w:rsidR="00433815" w:rsidRPr="008D6972" w:rsidRDefault="008D6972" w:rsidP="008D6972">
      <w:pPr>
        <w:pStyle w:val="Paragraphedeliste"/>
        <w:numPr>
          <w:ilvl w:val="0"/>
          <w:numId w:val="1"/>
        </w:numPr>
        <w:rPr>
          <w:sz w:val="24"/>
          <w:szCs w:val="24"/>
        </w:rPr>
      </w:pPr>
      <w:r w:rsidRPr="008D6972">
        <w:rPr>
          <w:sz w:val="24"/>
          <w:szCs w:val="24"/>
        </w:rPr>
        <w:t>Le dispositif PINEL</w:t>
      </w:r>
    </w:p>
    <w:p w14:paraId="626DF70D" w14:textId="77777777" w:rsidR="008D6972" w:rsidRPr="008D6972" w:rsidRDefault="008D6972" w:rsidP="008D6972">
      <w:pPr>
        <w:pStyle w:val="Paragraphedeliste"/>
        <w:numPr>
          <w:ilvl w:val="0"/>
          <w:numId w:val="1"/>
        </w:numPr>
        <w:rPr>
          <w:sz w:val="24"/>
          <w:szCs w:val="24"/>
        </w:rPr>
      </w:pPr>
      <w:r w:rsidRPr="008D6972">
        <w:rPr>
          <w:sz w:val="24"/>
          <w:szCs w:val="24"/>
        </w:rPr>
        <w:t>Mise en location</w:t>
      </w:r>
    </w:p>
    <w:p w14:paraId="626DF70E" w14:textId="77777777" w:rsidR="008D6972" w:rsidRPr="008D6972" w:rsidRDefault="008D6972" w:rsidP="008D6972">
      <w:pPr>
        <w:pStyle w:val="Paragraphedeliste"/>
        <w:numPr>
          <w:ilvl w:val="0"/>
          <w:numId w:val="1"/>
        </w:numPr>
        <w:rPr>
          <w:sz w:val="24"/>
          <w:szCs w:val="24"/>
        </w:rPr>
      </w:pPr>
      <w:r w:rsidRPr="008D6972">
        <w:rPr>
          <w:sz w:val="24"/>
          <w:szCs w:val="24"/>
        </w:rPr>
        <w:t>Plafonds de loyer</w:t>
      </w:r>
    </w:p>
    <w:p w14:paraId="626DF70F" w14:textId="77777777" w:rsidR="008D6972" w:rsidRPr="008D6972" w:rsidRDefault="008D6972" w:rsidP="008D6972">
      <w:pPr>
        <w:pStyle w:val="Paragraphedeliste"/>
        <w:numPr>
          <w:ilvl w:val="0"/>
          <w:numId w:val="1"/>
        </w:numPr>
        <w:rPr>
          <w:sz w:val="24"/>
          <w:szCs w:val="24"/>
        </w:rPr>
      </w:pPr>
      <w:r w:rsidRPr="008D6972">
        <w:rPr>
          <w:sz w:val="24"/>
          <w:szCs w:val="24"/>
        </w:rPr>
        <w:t>Plafonds de ressources des locataires</w:t>
      </w:r>
      <w:r w:rsidR="002B366C">
        <w:rPr>
          <w:sz w:val="24"/>
          <w:szCs w:val="24"/>
        </w:rPr>
        <w:t xml:space="preserve"> &amp; location à un ascendant ou descendant</w:t>
      </w:r>
    </w:p>
    <w:p w14:paraId="626DF710"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 dispositif d’aide à l’investissement locatif, entré en vigueur le 1er janvier 2013, permet de bénéficier d’une réduction d’impôt sur le revenu pour l’acquisition ou la construction d’un logement neuf, en contrepartie d’un engagement à le louer nu à usage d’habitation principale et à un prix inférieur à celui du marché, pendant six ans minimum. Il peut être prolongé en option à neuf ou douze ans.</w:t>
      </w:r>
    </w:p>
    <w:p w14:paraId="626DF711"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Si un particulier investisseur acquiert ou fait construire un logement neuf ou en l’état futur d’achèvement entre le 1er septembre 2014 et le 31 décembre 2016, il peut bénéficier d’une réduction d’impôt sur le revenu, étalée sur six, neuf ou douze ans, s’élevant à 12, 18 ou 21 % du prix d’achat du logement en fonction de l’option fiscale retenue, dans la double limite de 300 000 € et d’un plafond de 5 500 € au m².</w:t>
      </w:r>
    </w:p>
    <w:p w14:paraId="626DF712"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Les revenus de votre (ou de vos) locataire(s) doivent également être inférieurs à un plafond de ressources.  Le locataire peut -être l’ascendant ou le descendant du propriétaire. A condition que celui-ci ne soit pas membre du foyer fiscal du propriétaire ;</w:t>
      </w:r>
    </w:p>
    <w:p w14:paraId="626DF713"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 xml:space="preserve"> Il faut également que le logement respecte un niveau de performance énergétique globale, il s’agit du respect de la réglementation thermique 2012 (« RT 2012 »), ou de l’obtention du label « Bâtiment basse consommation, BBC 2005 »</w:t>
      </w:r>
    </w:p>
    <w:p w14:paraId="626DF714"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u w:val="single"/>
        </w:rPr>
      </w:pPr>
      <w:r>
        <w:rPr>
          <w:rFonts w:ascii="Book Antiqua" w:hAnsi="Book Antiqua"/>
          <w:u w:val="single"/>
        </w:rPr>
        <w:t>Un avantage fiscal qui vous engage à respecter certaines conditions</w:t>
      </w:r>
    </w:p>
    <w:p w14:paraId="626DF715"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 xml:space="preserve"> Si vous bénéficiez d’une réduction d’impôt au titre de votre investissement, qu’il s’agisse de la réduction d’impôt liée au dispositif d’aide à l’investissement locatif, vous devez respecter certaines conditions de location (notamment, loyers et ressources du locataire plafonnés), pendant plusieurs années, le plus souvent 9 ans.</w:t>
      </w:r>
    </w:p>
    <w:p w14:paraId="626DF716"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lastRenderedPageBreak/>
        <w:t xml:space="preserve">Dans le cas du dispositif dit « PINEL » d’aide à l’investissement locatif dans le neuf, vous devez louer votre logement dans les douze mois qui suivent l’achèvement ou l’acquisition du logement si cette acquisition est postérieure à l’achèvement. </w:t>
      </w:r>
      <w:r w:rsidRPr="00936C8D">
        <w:rPr>
          <w:rFonts w:ascii="Book Antiqua" w:hAnsi="Book Antiqua"/>
          <w:b/>
          <w:u w:val="single"/>
        </w:rPr>
        <w:t>Si la location n’intervient pas dans ce délai,</w:t>
      </w:r>
      <w:r>
        <w:rPr>
          <w:rFonts w:ascii="Book Antiqua" w:hAnsi="Book Antiqua"/>
        </w:rPr>
        <w:t xml:space="preserve"> </w:t>
      </w:r>
      <w:r w:rsidRPr="00936C8D">
        <w:rPr>
          <w:rFonts w:ascii="Book Antiqua" w:hAnsi="Book Antiqua"/>
          <w:b/>
          <w:u w:val="single"/>
        </w:rPr>
        <w:t>même si vous parvenez à trouver un locataire au-delà de ces douze mois, vous perdrez le droit au bénéfice de la réduction d’impôt.</w:t>
      </w:r>
    </w:p>
    <w:p w14:paraId="626DF717"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Il vous est par ailleurs impossible de reprendre le logement pour le vendre ou l’occuper pendant toute la période d’engagement de location, soit neuf ans, sans devoir rembourser la réduction d’impôt perçue (sauf cas de force majeure définis par doctrine fiscale).</w:t>
      </w:r>
    </w:p>
    <w:p w14:paraId="626DF718"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Ce type d’opération est limité pour chaque propriétaire investisseur à deux logements par an au maximum (dans la limite d’un investissement total de 300 000 € par an). La réduction d’impôt que permet ce dispositif est inclus dans le plafonnement global à 10 000 € des avantages fiscaux.</w:t>
      </w:r>
    </w:p>
    <w:p w14:paraId="626DF719"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b/>
          <w:bCs/>
        </w:rPr>
        <w:t>Plafonds de loyer</w:t>
      </w:r>
    </w:p>
    <w:p w14:paraId="626DF71A"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 loyer mensuel par mètre carré, hors charges, ne doit pas être supérieur, pendant toute la période couverte par l’engagement de location, aux plafonds fixés par décret selon la zone dans laquelle se situe le logement.</w:t>
      </w:r>
    </w:p>
    <w:p w14:paraId="626DF71B"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r>
        <w:rPr>
          <w:rFonts w:ascii="Book Antiqua" w:hAnsi="Book Antiqua"/>
        </w:rPr>
        <w:t xml:space="preserve">Ces </w:t>
      </w:r>
      <w:hyperlink r:id="rId10" w:anchor="loyersduflot2013" w:history="1">
        <w:r>
          <w:rPr>
            <w:rStyle w:val="Lienhypertexte"/>
            <w:rFonts w:ascii="Book Antiqua" w:eastAsia="Calibri" w:hAnsi="Book Antiqua"/>
          </w:rPr>
          <w:t>plafonds</w:t>
        </w:r>
      </w:hyperlink>
      <w:r>
        <w:rPr>
          <w:rFonts w:ascii="Book Antiqua" w:hAnsi="Book Antiqua"/>
        </w:rPr>
        <w:t xml:space="preserve"> de loyer sont relevés chaque année, au 1er janvier, dans la même proportion que la variation de l’indice de référence des loyers (IRL) publié par l’INSEE.</w:t>
      </w:r>
    </w:p>
    <w:p w14:paraId="626DF71C" w14:textId="77777777" w:rsidR="00456105" w:rsidRDefault="00456105"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p>
    <w:p w14:paraId="626DF71D" w14:textId="77777777" w:rsidR="00456105" w:rsidRDefault="00456105"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p>
    <w:p w14:paraId="626DF71E" w14:textId="77777777" w:rsidR="00456105" w:rsidRDefault="00456105"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p>
    <w:p w14:paraId="626DF71F" w14:textId="77777777" w:rsidR="00456105" w:rsidRDefault="00456105"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p>
    <w:p w14:paraId="626DF720" w14:textId="77777777" w:rsidR="00456105" w:rsidRDefault="00456105" w:rsidP="008D6972">
      <w:pPr>
        <w:pStyle w:val="NormalWeb"/>
        <w:pBdr>
          <w:top w:val="single" w:sz="4" w:space="1" w:color="auto"/>
          <w:left w:val="single" w:sz="4" w:space="4" w:color="auto"/>
          <w:bottom w:val="single" w:sz="4" w:space="1" w:color="auto"/>
          <w:right w:val="single" w:sz="4" w:space="4" w:color="auto"/>
        </w:pBdr>
        <w:rPr>
          <w:rFonts w:ascii="Book Antiqua" w:hAnsi="Book Antiqua"/>
          <w:b/>
          <w:bCs/>
        </w:rPr>
      </w:pPr>
    </w:p>
    <w:p w14:paraId="626DF721"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b/>
          <w:bCs/>
        </w:rPr>
        <w:t>Plafonds de ressources</w:t>
      </w:r>
    </w:p>
    <w:p w14:paraId="626DF722"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Les ressources du locataire s’entendent du revenu fiscal de référence du foyer figurant sur l’avis d’imposition établi au titre de l’avant-dernière année précédant celle de la signature du contrat de location (n-2).</w:t>
      </w:r>
    </w:p>
    <w:p w14:paraId="626DF723"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 plafond de ressources à retenir s’apprécie à la date de signature du bail en tenant compte du nombre de personnes titulaires du bail et de la composition de leurs foyers fiscaux.</w:t>
      </w:r>
    </w:p>
    <w:p w14:paraId="626DF724" w14:textId="77777777" w:rsidR="008D6972" w:rsidRDefault="008D6972" w:rsidP="008D6972">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 xml:space="preserve">Les </w:t>
      </w:r>
      <w:hyperlink r:id="rId11" w:anchor="loyersduflot2013" w:history="1">
        <w:r>
          <w:rPr>
            <w:rStyle w:val="Lienhypertexte"/>
            <w:rFonts w:ascii="Book Antiqua" w:eastAsia="Calibri" w:hAnsi="Book Antiqua"/>
          </w:rPr>
          <w:t>plafonds</w:t>
        </w:r>
      </w:hyperlink>
      <w:r>
        <w:rPr>
          <w:rFonts w:ascii="Book Antiqua" w:hAnsi="Book Antiqua"/>
        </w:rPr>
        <w:t xml:space="preserve"> de ressources, fixés par décret, sont révisés chaque année, en fonction de l’évolution annuelle du salaire minimum de croissance.</w:t>
      </w:r>
    </w:p>
    <w:p w14:paraId="626DF725" w14:textId="77777777" w:rsidR="002B366C" w:rsidRDefault="002B366C" w:rsidP="002B366C">
      <w:pPr>
        <w:pStyle w:val="NormalWeb"/>
        <w:pBdr>
          <w:top w:val="single" w:sz="4" w:space="1" w:color="auto"/>
          <w:left w:val="single" w:sz="4" w:space="4" w:color="auto"/>
          <w:bottom w:val="single" w:sz="4" w:space="1" w:color="auto"/>
          <w:right w:val="single" w:sz="4" w:space="4" w:color="auto"/>
        </w:pBdr>
        <w:rPr>
          <w:rFonts w:ascii="Book Antiqua" w:hAnsi="Book Antiqua"/>
          <w:b/>
          <w:bCs/>
        </w:rPr>
      </w:pPr>
      <w:r>
        <w:rPr>
          <w:rFonts w:ascii="Book Antiqua" w:hAnsi="Book Antiqua"/>
          <w:b/>
          <w:bCs/>
        </w:rPr>
        <w:t>Les conditions de location à sa famille :</w:t>
      </w:r>
    </w:p>
    <w:p w14:paraId="626DF726" w14:textId="77777777" w:rsidR="002B366C" w:rsidRDefault="002B366C" w:rsidP="002B366C">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Les investisseurs qui souhaitent loger leurs enfants ou leurs parents dans un bien acquis sous le dispositif PINEL devront respecter les conditions suivantes :</w:t>
      </w:r>
    </w:p>
    <w:p w14:paraId="626DF727" w14:textId="77777777" w:rsidR="002B366C" w:rsidRPr="00216A38" w:rsidRDefault="002B366C" w:rsidP="002B366C">
      <w:pPr>
        <w:pStyle w:val="NormalWeb"/>
        <w:pBdr>
          <w:top w:val="single" w:sz="4" w:space="1" w:color="auto"/>
          <w:left w:val="single" w:sz="4" w:space="4" w:color="auto"/>
          <w:bottom w:val="single" w:sz="4" w:space="1" w:color="auto"/>
          <w:right w:val="single" w:sz="4" w:space="4" w:color="auto"/>
        </w:pBdr>
        <w:rPr>
          <w:rFonts w:ascii="Book Antiqua" w:hAnsi="Book Antiqua"/>
          <w:u w:val="single"/>
        </w:rPr>
      </w:pPr>
      <w:r>
        <w:rPr>
          <w:rFonts w:ascii="Book Antiqua" w:hAnsi="Book Antiqua"/>
        </w:rPr>
        <w:t xml:space="preserve">- Le locataire, qu’il s’agisse d’un parent ou d’un enfant, ne devra </w:t>
      </w:r>
      <w:r w:rsidRPr="00216A38">
        <w:rPr>
          <w:rFonts w:ascii="Book Antiqua" w:hAnsi="Book Antiqua"/>
          <w:u w:val="single"/>
        </w:rPr>
        <w:t>pas être rattaché au foyer fiscal du propriétaire</w:t>
      </w:r>
    </w:p>
    <w:p w14:paraId="626DF728" w14:textId="77777777" w:rsidR="002B366C" w:rsidRDefault="002B366C" w:rsidP="002B366C">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 les autres conditions du dispositif s’appliquant normalement</w:t>
      </w:r>
    </w:p>
    <w:p w14:paraId="626DF729" w14:textId="77777777" w:rsidR="002B366C" w:rsidRDefault="002B366C" w:rsidP="002B366C">
      <w:pPr>
        <w:pStyle w:val="NormalWeb"/>
        <w:pBdr>
          <w:top w:val="single" w:sz="4" w:space="1" w:color="auto"/>
          <w:left w:val="single" w:sz="4" w:space="4" w:color="auto"/>
          <w:bottom w:val="single" w:sz="4" w:space="1" w:color="auto"/>
          <w:right w:val="single" w:sz="4" w:space="4" w:color="auto"/>
        </w:pBdr>
        <w:rPr>
          <w:rFonts w:ascii="Book Antiqua" w:hAnsi="Book Antiqua"/>
        </w:rPr>
      </w:pPr>
      <w:r>
        <w:rPr>
          <w:rFonts w:ascii="Book Antiqua" w:hAnsi="Book Antiqua"/>
        </w:rPr>
        <w:t xml:space="preserve">Par ailleurs, les enfants locataires </w:t>
      </w:r>
      <w:r w:rsidRPr="00216A38">
        <w:rPr>
          <w:rFonts w:ascii="Book Antiqua" w:hAnsi="Book Antiqua"/>
          <w:u w:val="single"/>
        </w:rPr>
        <w:t>ne bénéficieront pas de l’aide au logement</w:t>
      </w:r>
      <w:r>
        <w:rPr>
          <w:rFonts w:ascii="Book Antiqua" w:hAnsi="Book Antiqua"/>
        </w:rPr>
        <w:t xml:space="preserve"> lorsqu’ils louent un bien à leurs parents</w:t>
      </w:r>
    </w:p>
    <w:p w14:paraId="626DF72A" w14:textId="77777777" w:rsidR="00456105" w:rsidRDefault="00456105"/>
    <w:p w14:paraId="626DF72B" w14:textId="77777777" w:rsidR="008D6972" w:rsidRDefault="00456105">
      <w:r>
        <w:t>F</w:t>
      </w:r>
      <w:r w:rsidR="008D6972">
        <w:t xml:space="preserve">ait à </w:t>
      </w:r>
      <w:r w:rsidR="002B366C">
        <w:t xml:space="preserve">                                                                                 Le :</w:t>
      </w:r>
    </w:p>
    <w:p w14:paraId="626DF72C" w14:textId="77777777" w:rsidR="00456105" w:rsidRDefault="00456105">
      <w:r>
        <w:t>Signature précédée de la mention « lu et approuvé »</w:t>
      </w:r>
    </w:p>
    <w:sectPr w:rsidR="00456105" w:rsidSect="0043381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E7D0" w14:textId="77777777" w:rsidR="00EE1CB3" w:rsidRDefault="00EE1CB3" w:rsidP="00456105">
      <w:pPr>
        <w:spacing w:after="0" w:line="240" w:lineRule="auto"/>
      </w:pPr>
      <w:r>
        <w:separator/>
      </w:r>
    </w:p>
  </w:endnote>
  <w:endnote w:type="continuationSeparator" w:id="0">
    <w:p w14:paraId="653F69D8" w14:textId="77777777" w:rsidR="00EE1CB3" w:rsidRDefault="00EE1CB3" w:rsidP="0045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F732" w14:textId="77777777" w:rsidR="00456105" w:rsidRDefault="00456105" w:rsidP="00456105">
    <w:pPr>
      <w:spacing w:after="0" w:line="240" w:lineRule="auto"/>
      <w:jc w:val="center"/>
      <w:rPr>
        <w:rFonts w:ascii="Garamond" w:eastAsia="Times New Roman" w:hAnsi="Garamond" w:cs="Times New Roman"/>
        <w:kern w:val="18"/>
        <w:sz w:val="14"/>
        <w:szCs w:val="14"/>
      </w:rPr>
    </w:pPr>
  </w:p>
  <w:p w14:paraId="626DF733" w14:textId="77777777" w:rsidR="00456105" w:rsidRPr="00456105" w:rsidRDefault="00456105" w:rsidP="00456105">
    <w:pPr>
      <w:rPr>
        <w:rFonts w:eastAsiaTheme="minorEastAsia"/>
        <w:lang w:eastAsia="fr-FR"/>
      </w:rPr>
    </w:pPr>
    <w:r w:rsidRPr="00456105">
      <w:rPr>
        <w:rFonts w:eastAsiaTheme="minorEastAsia"/>
        <w:i/>
        <w:lang w:eastAsia="fr-FR"/>
      </w:rPr>
      <w:t>Document non contractuel et conforme aux données communiquées</w:t>
    </w:r>
  </w:p>
  <w:p w14:paraId="626DF734"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 xml:space="preserve">20 rue Mercœur 44000 NANTES – Tel : 02 40 89 30 46 - @ </w:t>
    </w:r>
    <w:hyperlink r:id="rId1" w:history="1">
      <w:r w:rsidRPr="00456105">
        <w:rPr>
          <w:rFonts w:ascii="Garamond" w:eastAsia="Times New Roman" w:hAnsi="Garamond" w:cs="Times New Roman"/>
          <w:color w:val="0000FF"/>
          <w:kern w:val="18"/>
          <w:sz w:val="14"/>
          <w:szCs w:val="14"/>
          <w:u w:val="single"/>
        </w:rPr>
        <w:t>christophe.aupy-fargues@cf-patrimoine.com</w:t>
      </w:r>
    </w:hyperlink>
  </w:p>
  <w:p w14:paraId="626DF735"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SARL au capital de 2 500 € - RCS NANTES 452 685 738 – TVA FR 93452685738</w:t>
    </w:r>
  </w:p>
  <w:p w14:paraId="626DF736"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RCP et Garantie Financière N° 105708080 COVEA RISK – ICAP 0003800 et GFICAP0003801 souscrit auprès de QBE Insurance</w:t>
    </w:r>
  </w:p>
  <w:p w14:paraId="626DF737"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Conseiller en Investissement Financier inscrit sous le n° E003158 auprès de l’ANACOFI – Association Nationale des Conseillers Financiers agréée auprès de l’AMF (Autorités des Marchés Financiers)</w:t>
    </w:r>
  </w:p>
  <w:p w14:paraId="626DF738"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 xml:space="preserve">Société de Courtage en Assurance immatriculée auprès de l’Organisme pour le Registre des Intermédiaires en Assurance (ORIAS) sous le N° 07-003-958 – </w:t>
    </w:r>
    <w:hyperlink r:id="rId2" w:history="1">
      <w:r w:rsidRPr="00456105">
        <w:rPr>
          <w:rFonts w:ascii="Garamond" w:eastAsia="Times New Roman" w:hAnsi="Garamond" w:cs="Times New Roman"/>
          <w:color w:val="0000FF"/>
          <w:kern w:val="18"/>
          <w:sz w:val="14"/>
          <w:szCs w:val="14"/>
          <w:u w:val="single"/>
        </w:rPr>
        <w:t>www.orias.fr</w:t>
      </w:r>
    </w:hyperlink>
  </w:p>
  <w:p w14:paraId="626DF739"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Carte de démarchage bancaire et financier N° 1102282382UI</w:t>
    </w:r>
  </w:p>
  <w:p w14:paraId="626DF73A"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Carte Professionnelle de Transactions sur Immeubles et Fonds de Commerce et Gestion Immobilière  N° CPI 44012015 000 002 794 délivrée par la CCI NANTES-SAINT NAZAIRE</w:t>
    </w:r>
  </w:p>
  <w:p w14:paraId="626DF73B" w14:textId="77777777" w:rsidR="00456105" w:rsidRPr="00456105" w:rsidRDefault="00456105" w:rsidP="00456105">
    <w:pPr>
      <w:spacing w:after="0" w:line="240" w:lineRule="auto"/>
      <w:jc w:val="center"/>
      <w:rPr>
        <w:rFonts w:ascii="Garamond" w:eastAsia="Times New Roman" w:hAnsi="Garamond" w:cs="Times New Roman"/>
        <w:kern w:val="18"/>
        <w:sz w:val="14"/>
        <w:szCs w:val="14"/>
      </w:rPr>
    </w:pPr>
    <w:r w:rsidRPr="00456105">
      <w:rPr>
        <w:rFonts w:ascii="Garamond" w:eastAsia="Times New Roman" w:hAnsi="Garamond" w:cs="Times New Roman"/>
        <w:kern w:val="18"/>
        <w:sz w:val="14"/>
        <w:szCs w:val="14"/>
      </w:rPr>
      <w:t>Membre de la Société de Caution Mutuelle des Professions Immobilières et Foncière sous le n° SP23942</w:t>
    </w:r>
  </w:p>
  <w:p w14:paraId="626DF73C" w14:textId="77777777" w:rsidR="00456105" w:rsidRDefault="004561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8B44" w14:textId="77777777" w:rsidR="00EE1CB3" w:rsidRDefault="00EE1CB3" w:rsidP="00456105">
      <w:pPr>
        <w:spacing w:after="0" w:line="240" w:lineRule="auto"/>
      </w:pPr>
      <w:r>
        <w:separator/>
      </w:r>
    </w:p>
  </w:footnote>
  <w:footnote w:type="continuationSeparator" w:id="0">
    <w:p w14:paraId="05DFD3E5" w14:textId="77777777" w:rsidR="00EE1CB3" w:rsidRDefault="00EE1CB3" w:rsidP="0045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F731" w14:textId="77777777" w:rsidR="00456105" w:rsidRDefault="00456105">
    <w:pPr>
      <w:pStyle w:val="En-tte"/>
    </w:pPr>
    <w:r>
      <w:rPr>
        <w:noProof/>
        <w:lang w:eastAsia="fr-FR"/>
      </w:rPr>
      <w:drawing>
        <wp:inline distT="0" distB="0" distL="0" distR="0" wp14:anchorId="626DF73D" wp14:editId="626DF73E">
          <wp:extent cx="2305050" cy="1233608"/>
          <wp:effectExtent l="0" t="0" r="0" b="5080"/>
          <wp:docPr id="1" name="Image 1" descr="C:\Users\christophe\Desktop\LOGO\nouveau CF PATRIMOINE\CF_PATRIMOIN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Desktop\LOGO\nouveau CF PATRIMOINE\CF_PATRIMOINE_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547" cy="1238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5B04"/>
    <w:multiLevelType w:val="multilevel"/>
    <w:tmpl w:val="E7C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353E"/>
    <w:multiLevelType w:val="hybridMultilevel"/>
    <w:tmpl w:val="D70EF0B2"/>
    <w:lvl w:ilvl="0" w:tplc="02025532">
      <w:numFmt w:val="bullet"/>
      <w:lvlText w:val="-"/>
      <w:lvlJc w:val="left"/>
      <w:pPr>
        <w:ind w:left="2484" w:hanging="360"/>
      </w:pPr>
      <w:rPr>
        <w:rFonts w:ascii="Calibri" w:eastAsiaTheme="minorHAnsi" w:hAnsi="Calibri"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972"/>
    <w:rsid w:val="00005465"/>
    <w:rsid w:val="00011592"/>
    <w:rsid w:val="000265B1"/>
    <w:rsid w:val="00027665"/>
    <w:rsid w:val="00030394"/>
    <w:rsid w:val="00032EEC"/>
    <w:rsid w:val="00032F1E"/>
    <w:rsid w:val="00043A36"/>
    <w:rsid w:val="0005648A"/>
    <w:rsid w:val="0005714A"/>
    <w:rsid w:val="0006742D"/>
    <w:rsid w:val="00073099"/>
    <w:rsid w:val="00073997"/>
    <w:rsid w:val="000763AC"/>
    <w:rsid w:val="00077C9F"/>
    <w:rsid w:val="0008066E"/>
    <w:rsid w:val="00087AB3"/>
    <w:rsid w:val="00090223"/>
    <w:rsid w:val="00090832"/>
    <w:rsid w:val="000B420E"/>
    <w:rsid w:val="000B45F3"/>
    <w:rsid w:val="000B5C4B"/>
    <w:rsid w:val="000B5E4B"/>
    <w:rsid w:val="000B6523"/>
    <w:rsid w:val="000B699F"/>
    <w:rsid w:val="000C0097"/>
    <w:rsid w:val="000D44B6"/>
    <w:rsid w:val="000E0334"/>
    <w:rsid w:val="000E20AE"/>
    <w:rsid w:val="000E6A86"/>
    <w:rsid w:val="000F5586"/>
    <w:rsid w:val="000F5CF2"/>
    <w:rsid w:val="000F5F0D"/>
    <w:rsid w:val="000F6590"/>
    <w:rsid w:val="00102287"/>
    <w:rsid w:val="001054C6"/>
    <w:rsid w:val="00122C70"/>
    <w:rsid w:val="00123B86"/>
    <w:rsid w:val="001254C1"/>
    <w:rsid w:val="00126AD7"/>
    <w:rsid w:val="00133B65"/>
    <w:rsid w:val="00142749"/>
    <w:rsid w:val="00144753"/>
    <w:rsid w:val="00145E3F"/>
    <w:rsid w:val="00154EB5"/>
    <w:rsid w:val="00163622"/>
    <w:rsid w:val="001663B5"/>
    <w:rsid w:val="00172F3A"/>
    <w:rsid w:val="00173FDC"/>
    <w:rsid w:val="001745E0"/>
    <w:rsid w:val="001760AB"/>
    <w:rsid w:val="00196BE2"/>
    <w:rsid w:val="001C08A6"/>
    <w:rsid w:val="001C344C"/>
    <w:rsid w:val="001C3721"/>
    <w:rsid w:val="001C402C"/>
    <w:rsid w:val="001C6476"/>
    <w:rsid w:val="001D332A"/>
    <w:rsid w:val="001D477F"/>
    <w:rsid w:val="001D5D9D"/>
    <w:rsid w:val="001D60B0"/>
    <w:rsid w:val="001E3A8B"/>
    <w:rsid w:val="001F044F"/>
    <w:rsid w:val="001F6434"/>
    <w:rsid w:val="0021346E"/>
    <w:rsid w:val="00213B0A"/>
    <w:rsid w:val="00216A38"/>
    <w:rsid w:val="002203F1"/>
    <w:rsid w:val="002257A9"/>
    <w:rsid w:val="002262F8"/>
    <w:rsid w:val="00235951"/>
    <w:rsid w:val="0023779E"/>
    <w:rsid w:val="00242DAB"/>
    <w:rsid w:val="002457CB"/>
    <w:rsid w:val="00246FC0"/>
    <w:rsid w:val="002475A9"/>
    <w:rsid w:val="00252CA5"/>
    <w:rsid w:val="00255B55"/>
    <w:rsid w:val="00256BC5"/>
    <w:rsid w:val="00262A3D"/>
    <w:rsid w:val="0027313B"/>
    <w:rsid w:val="00273D2B"/>
    <w:rsid w:val="00291C77"/>
    <w:rsid w:val="00292463"/>
    <w:rsid w:val="00293E4D"/>
    <w:rsid w:val="002A1484"/>
    <w:rsid w:val="002A72CB"/>
    <w:rsid w:val="002B137F"/>
    <w:rsid w:val="002B366C"/>
    <w:rsid w:val="002B6B8F"/>
    <w:rsid w:val="002B7702"/>
    <w:rsid w:val="002C14F2"/>
    <w:rsid w:val="002C35E0"/>
    <w:rsid w:val="002D0CB5"/>
    <w:rsid w:val="002D6E9B"/>
    <w:rsid w:val="002D77B9"/>
    <w:rsid w:val="002E1DFC"/>
    <w:rsid w:val="002E1F0D"/>
    <w:rsid w:val="002E1FBF"/>
    <w:rsid w:val="002E4DBF"/>
    <w:rsid w:val="002F095F"/>
    <w:rsid w:val="003036E9"/>
    <w:rsid w:val="0031369D"/>
    <w:rsid w:val="003224CB"/>
    <w:rsid w:val="00323754"/>
    <w:rsid w:val="00331A1D"/>
    <w:rsid w:val="00331C60"/>
    <w:rsid w:val="003350A2"/>
    <w:rsid w:val="00340D21"/>
    <w:rsid w:val="003444E9"/>
    <w:rsid w:val="00350DA0"/>
    <w:rsid w:val="00355060"/>
    <w:rsid w:val="00381D04"/>
    <w:rsid w:val="003919CA"/>
    <w:rsid w:val="0039416F"/>
    <w:rsid w:val="00395A7D"/>
    <w:rsid w:val="00395BCA"/>
    <w:rsid w:val="003A17A9"/>
    <w:rsid w:val="003C10D5"/>
    <w:rsid w:val="003F39C4"/>
    <w:rsid w:val="004073B1"/>
    <w:rsid w:val="0041237B"/>
    <w:rsid w:val="00416DC5"/>
    <w:rsid w:val="004210DF"/>
    <w:rsid w:val="004273E0"/>
    <w:rsid w:val="00433815"/>
    <w:rsid w:val="00435969"/>
    <w:rsid w:val="004362B5"/>
    <w:rsid w:val="00442A6B"/>
    <w:rsid w:val="00444BF7"/>
    <w:rsid w:val="00456105"/>
    <w:rsid w:val="0046108B"/>
    <w:rsid w:val="00462CA7"/>
    <w:rsid w:val="00464EA0"/>
    <w:rsid w:val="00465141"/>
    <w:rsid w:val="004659BE"/>
    <w:rsid w:val="00473DA0"/>
    <w:rsid w:val="004750FA"/>
    <w:rsid w:val="00475CA5"/>
    <w:rsid w:val="00482C46"/>
    <w:rsid w:val="00490B24"/>
    <w:rsid w:val="004A7C1A"/>
    <w:rsid w:val="004B57F8"/>
    <w:rsid w:val="004C1587"/>
    <w:rsid w:val="004C324F"/>
    <w:rsid w:val="004C4788"/>
    <w:rsid w:val="004D10CB"/>
    <w:rsid w:val="004D1E69"/>
    <w:rsid w:val="004D52A8"/>
    <w:rsid w:val="004D7C65"/>
    <w:rsid w:val="004F77B3"/>
    <w:rsid w:val="00504A4E"/>
    <w:rsid w:val="005118C3"/>
    <w:rsid w:val="00512596"/>
    <w:rsid w:val="00514DDF"/>
    <w:rsid w:val="00521189"/>
    <w:rsid w:val="005244A3"/>
    <w:rsid w:val="00530F11"/>
    <w:rsid w:val="00531ABE"/>
    <w:rsid w:val="00534D78"/>
    <w:rsid w:val="00536FAD"/>
    <w:rsid w:val="00537141"/>
    <w:rsid w:val="005374FB"/>
    <w:rsid w:val="005548DD"/>
    <w:rsid w:val="00560DB3"/>
    <w:rsid w:val="00571863"/>
    <w:rsid w:val="00572FE5"/>
    <w:rsid w:val="00574DCC"/>
    <w:rsid w:val="00577F49"/>
    <w:rsid w:val="005878AA"/>
    <w:rsid w:val="005911B1"/>
    <w:rsid w:val="005B01C6"/>
    <w:rsid w:val="005B3FA8"/>
    <w:rsid w:val="005C178D"/>
    <w:rsid w:val="005C1978"/>
    <w:rsid w:val="005D2B3E"/>
    <w:rsid w:val="005E6B2A"/>
    <w:rsid w:val="005F2236"/>
    <w:rsid w:val="00600F64"/>
    <w:rsid w:val="00601D31"/>
    <w:rsid w:val="006104F5"/>
    <w:rsid w:val="00620C7F"/>
    <w:rsid w:val="00626CEE"/>
    <w:rsid w:val="006277A7"/>
    <w:rsid w:val="00636D77"/>
    <w:rsid w:val="00643C81"/>
    <w:rsid w:val="006520B5"/>
    <w:rsid w:val="006555E3"/>
    <w:rsid w:val="00666E7D"/>
    <w:rsid w:val="0067013F"/>
    <w:rsid w:val="0068424C"/>
    <w:rsid w:val="00686F73"/>
    <w:rsid w:val="0069327D"/>
    <w:rsid w:val="006A2FBF"/>
    <w:rsid w:val="006A4BD5"/>
    <w:rsid w:val="006A5226"/>
    <w:rsid w:val="006B0C82"/>
    <w:rsid w:val="006B2467"/>
    <w:rsid w:val="006B7EE1"/>
    <w:rsid w:val="006C21DA"/>
    <w:rsid w:val="006D3AD2"/>
    <w:rsid w:val="006D4C3F"/>
    <w:rsid w:val="006E0AFD"/>
    <w:rsid w:val="006E4BB5"/>
    <w:rsid w:val="006E7776"/>
    <w:rsid w:val="007162B7"/>
    <w:rsid w:val="00716749"/>
    <w:rsid w:val="00727B4D"/>
    <w:rsid w:val="00734F9B"/>
    <w:rsid w:val="00735F69"/>
    <w:rsid w:val="00752383"/>
    <w:rsid w:val="00756C08"/>
    <w:rsid w:val="00757F93"/>
    <w:rsid w:val="00766F12"/>
    <w:rsid w:val="00771CE5"/>
    <w:rsid w:val="00776A69"/>
    <w:rsid w:val="0078321B"/>
    <w:rsid w:val="00785829"/>
    <w:rsid w:val="007922A7"/>
    <w:rsid w:val="00796488"/>
    <w:rsid w:val="007974BC"/>
    <w:rsid w:val="007A1925"/>
    <w:rsid w:val="007B3076"/>
    <w:rsid w:val="007C427B"/>
    <w:rsid w:val="007C43C8"/>
    <w:rsid w:val="007D0B25"/>
    <w:rsid w:val="007E18BE"/>
    <w:rsid w:val="007F46C1"/>
    <w:rsid w:val="007F4AFC"/>
    <w:rsid w:val="007F7FC6"/>
    <w:rsid w:val="008129D8"/>
    <w:rsid w:val="00817464"/>
    <w:rsid w:val="00821601"/>
    <w:rsid w:val="00827878"/>
    <w:rsid w:val="0083658F"/>
    <w:rsid w:val="00842E9E"/>
    <w:rsid w:val="00845FD5"/>
    <w:rsid w:val="00847BEE"/>
    <w:rsid w:val="00847F14"/>
    <w:rsid w:val="008543A1"/>
    <w:rsid w:val="008565E4"/>
    <w:rsid w:val="00861E96"/>
    <w:rsid w:val="00861EC7"/>
    <w:rsid w:val="00862372"/>
    <w:rsid w:val="008A0A33"/>
    <w:rsid w:val="008A36FA"/>
    <w:rsid w:val="008A3C81"/>
    <w:rsid w:val="008B1E66"/>
    <w:rsid w:val="008B2C52"/>
    <w:rsid w:val="008B396F"/>
    <w:rsid w:val="008D4D98"/>
    <w:rsid w:val="008D6972"/>
    <w:rsid w:val="008E2A5F"/>
    <w:rsid w:val="008E2E6B"/>
    <w:rsid w:val="008F12A6"/>
    <w:rsid w:val="009047A9"/>
    <w:rsid w:val="00904B89"/>
    <w:rsid w:val="00906FE6"/>
    <w:rsid w:val="0091485C"/>
    <w:rsid w:val="00924EFD"/>
    <w:rsid w:val="009314BD"/>
    <w:rsid w:val="00935255"/>
    <w:rsid w:val="00935B47"/>
    <w:rsid w:val="00936C8D"/>
    <w:rsid w:val="00945D8A"/>
    <w:rsid w:val="00975967"/>
    <w:rsid w:val="00982487"/>
    <w:rsid w:val="009843B1"/>
    <w:rsid w:val="00984965"/>
    <w:rsid w:val="009864B5"/>
    <w:rsid w:val="00992F14"/>
    <w:rsid w:val="00993997"/>
    <w:rsid w:val="009A0557"/>
    <w:rsid w:val="009A6E78"/>
    <w:rsid w:val="009B3991"/>
    <w:rsid w:val="009D3C6E"/>
    <w:rsid w:val="009D4256"/>
    <w:rsid w:val="009D4C8F"/>
    <w:rsid w:val="009D54C4"/>
    <w:rsid w:val="009E137E"/>
    <w:rsid w:val="009E3245"/>
    <w:rsid w:val="009E5381"/>
    <w:rsid w:val="00A0393D"/>
    <w:rsid w:val="00A25B01"/>
    <w:rsid w:val="00A30532"/>
    <w:rsid w:val="00A4083A"/>
    <w:rsid w:val="00A57FAF"/>
    <w:rsid w:val="00A6321F"/>
    <w:rsid w:val="00A6398C"/>
    <w:rsid w:val="00A7781C"/>
    <w:rsid w:val="00A80483"/>
    <w:rsid w:val="00A86DC2"/>
    <w:rsid w:val="00A912DB"/>
    <w:rsid w:val="00A92BE1"/>
    <w:rsid w:val="00A95090"/>
    <w:rsid w:val="00AA05E9"/>
    <w:rsid w:val="00AA6D90"/>
    <w:rsid w:val="00AB111E"/>
    <w:rsid w:val="00AB2915"/>
    <w:rsid w:val="00AB505C"/>
    <w:rsid w:val="00AB5D77"/>
    <w:rsid w:val="00AC2484"/>
    <w:rsid w:val="00AC3B0B"/>
    <w:rsid w:val="00AC4B46"/>
    <w:rsid w:val="00AC6AC6"/>
    <w:rsid w:val="00AC7038"/>
    <w:rsid w:val="00AC7B9E"/>
    <w:rsid w:val="00AD4FA6"/>
    <w:rsid w:val="00AD6203"/>
    <w:rsid w:val="00AE296B"/>
    <w:rsid w:val="00AE67F3"/>
    <w:rsid w:val="00AE71AC"/>
    <w:rsid w:val="00AF2BDA"/>
    <w:rsid w:val="00AF4147"/>
    <w:rsid w:val="00B02B5C"/>
    <w:rsid w:val="00B04491"/>
    <w:rsid w:val="00B04AEC"/>
    <w:rsid w:val="00B11CDC"/>
    <w:rsid w:val="00B140F8"/>
    <w:rsid w:val="00B144A4"/>
    <w:rsid w:val="00B15E52"/>
    <w:rsid w:val="00B207E7"/>
    <w:rsid w:val="00B34A53"/>
    <w:rsid w:val="00B43C9C"/>
    <w:rsid w:val="00B53E6F"/>
    <w:rsid w:val="00B54985"/>
    <w:rsid w:val="00B71F1E"/>
    <w:rsid w:val="00B76A6A"/>
    <w:rsid w:val="00B80517"/>
    <w:rsid w:val="00B80CA8"/>
    <w:rsid w:val="00B8119F"/>
    <w:rsid w:val="00B90742"/>
    <w:rsid w:val="00B951E9"/>
    <w:rsid w:val="00BA5453"/>
    <w:rsid w:val="00BA5E75"/>
    <w:rsid w:val="00BB4337"/>
    <w:rsid w:val="00BB5DA4"/>
    <w:rsid w:val="00BB7A77"/>
    <w:rsid w:val="00BD4C5E"/>
    <w:rsid w:val="00BD4F44"/>
    <w:rsid w:val="00BE7A10"/>
    <w:rsid w:val="00BF379C"/>
    <w:rsid w:val="00C120D9"/>
    <w:rsid w:val="00C305A0"/>
    <w:rsid w:val="00C319A0"/>
    <w:rsid w:val="00C31D7B"/>
    <w:rsid w:val="00C326AD"/>
    <w:rsid w:val="00C3293C"/>
    <w:rsid w:val="00C50A8F"/>
    <w:rsid w:val="00C542E6"/>
    <w:rsid w:val="00C65F6E"/>
    <w:rsid w:val="00C66F5A"/>
    <w:rsid w:val="00C727BA"/>
    <w:rsid w:val="00C730E8"/>
    <w:rsid w:val="00C76543"/>
    <w:rsid w:val="00C87220"/>
    <w:rsid w:val="00C907F3"/>
    <w:rsid w:val="00C927E1"/>
    <w:rsid w:val="00CA5655"/>
    <w:rsid w:val="00CB41A5"/>
    <w:rsid w:val="00CB7F0A"/>
    <w:rsid w:val="00CC2229"/>
    <w:rsid w:val="00CC2CF9"/>
    <w:rsid w:val="00CC692D"/>
    <w:rsid w:val="00CD2905"/>
    <w:rsid w:val="00CE1136"/>
    <w:rsid w:val="00CE3451"/>
    <w:rsid w:val="00CE7A07"/>
    <w:rsid w:val="00CF191C"/>
    <w:rsid w:val="00CF4CC1"/>
    <w:rsid w:val="00D047D7"/>
    <w:rsid w:val="00D0671B"/>
    <w:rsid w:val="00D13F3F"/>
    <w:rsid w:val="00D158A3"/>
    <w:rsid w:val="00D20980"/>
    <w:rsid w:val="00D209FB"/>
    <w:rsid w:val="00D3119F"/>
    <w:rsid w:val="00D465A5"/>
    <w:rsid w:val="00D57651"/>
    <w:rsid w:val="00D7283C"/>
    <w:rsid w:val="00D85B5D"/>
    <w:rsid w:val="00D913BD"/>
    <w:rsid w:val="00DA21C6"/>
    <w:rsid w:val="00DA534B"/>
    <w:rsid w:val="00DA60B0"/>
    <w:rsid w:val="00DB1841"/>
    <w:rsid w:val="00DB1C24"/>
    <w:rsid w:val="00DB7391"/>
    <w:rsid w:val="00DC0478"/>
    <w:rsid w:val="00DD3C71"/>
    <w:rsid w:val="00DF277E"/>
    <w:rsid w:val="00DF7FA9"/>
    <w:rsid w:val="00E05D16"/>
    <w:rsid w:val="00E1507A"/>
    <w:rsid w:val="00E17DB8"/>
    <w:rsid w:val="00E247AA"/>
    <w:rsid w:val="00E26232"/>
    <w:rsid w:val="00E27774"/>
    <w:rsid w:val="00E30C65"/>
    <w:rsid w:val="00E31A70"/>
    <w:rsid w:val="00E42FA1"/>
    <w:rsid w:val="00E456BC"/>
    <w:rsid w:val="00E523BE"/>
    <w:rsid w:val="00E5329F"/>
    <w:rsid w:val="00E53886"/>
    <w:rsid w:val="00E560B7"/>
    <w:rsid w:val="00E62059"/>
    <w:rsid w:val="00E67AF5"/>
    <w:rsid w:val="00E70C6E"/>
    <w:rsid w:val="00E904D3"/>
    <w:rsid w:val="00E95404"/>
    <w:rsid w:val="00E973E8"/>
    <w:rsid w:val="00EA71EC"/>
    <w:rsid w:val="00EB1501"/>
    <w:rsid w:val="00ED1619"/>
    <w:rsid w:val="00ED5E0F"/>
    <w:rsid w:val="00EE11CC"/>
    <w:rsid w:val="00EE1CB3"/>
    <w:rsid w:val="00EE2506"/>
    <w:rsid w:val="00EE40CF"/>
    <w:rsid w:val="00EF5B6C"/>
    <w:rsid w:val="00F0191F"/>
    <w:rsid w:val="00F022BD"/>
    <w:rsid w:val="00F0474E"/>
    <w:rsid w:val="00F05E32"/>
    <w:rsid w:val="00F116F8"/>
    <w:rsid w:val="00F12D81"/>
    <w:rsid w:val="00F16424"/>
    <w:rsid w:val="00F23881"/>
    <w:rsid w:val="00F26B62"/>
    <w:rsid w:val="00F310EF"/>
    <w:rsid w:val="00F37C04"/>
    <w:rsid w:val="00F47D09"/>
    <w:rsid w:val="00F502B2"/>
    <w:rsid w:val="00F523A9"/>
    <w:rsid w:val="00F55D68"/>
    <w:rsid w:val="00F65159"/>
    <w:rsid w:val="00F76C03"/>
    <w:rsid w:val="00F82D02"/>
    <w:rsid w:val="00FA1E78"/>
    <w:rsid w:val="00FA4135"/>
    <w:rsid w:val="00FB0731"/>
    <w:rsid w:val="00FB3529"/>
    <w:rsid w:val="00FC1D39"/>
    <w:rsid w:val="00FC2973"/>
    <w:rsid w:val="00FC6505"/>
    <w:rsid w:val="00FD2E48"/>
    <w:rsid w:val="00FD3D88"/>
    <w:rsid w:val="00FF0AE5"/>
    <w:rsid w:val="00FF14C6"/>
    <w:rsid w:val="00FF1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F70B"/>
  <w15:docId w15:val="{76152C57-B0F0-4A61-BBB2-98D37C1A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6972"/>
    <w:rPr>
      <w:color w:val="0000FF" w:themeColor="hyperlink"/>
      <w:u w:val="single"/>
    </w:rPr>
  </w:style>
  <w:style w:type="paragraph" w:styleId="NormalWeb">
    <w:name w:val="Normal (Web)"/>
    <w:basedOn w:val="Normal"/>
    <w:uiPriority w:val="99"/>
    <w:semiHidden/>
    <w:unhideWhenUsed/>
    <w:rsid w:val="008D69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6972"/>
    <w:pPr>
      <w:ind w:left="720"/>
      <w:contextualSpacing/>
    </w:pPr>
  </w:style>
  <w:style w:type="paragraph" w:styleId="En-tte">
    <w:name w:val="header"/>
    <w:basedOn w:val="Normal"/>
    <w:link w:val="En-tteCar"/>
    <w:uiPriority w:val="99"/>
    <w:unhideWhenUsed/>
    <w:rsid w:val="00456105"/>
    <w:pPr>
      <w:tabs>
        <w:tab w:val="center" w:pos="4536"/>
        <w:tab w:val="right" w:pos="9072"/>
      </w:tabs>
      <w:spacing w:after="0" w:line="240" w:lineRule="auto"/>
    </w:pPr>
  </w:style>
  <w:style w:type="character" w:customStyle="1" w:styleId="En-tteCar">
    <w:name w:val="En-tête Car"/>
    <w:basedOn w:val="Policepardfaut"/>
    <w:link w:val="En-tte"/>
    <w:uiPriority w:val="99"/>
    <w:rsid w:val="00456105"/>
  </w:style>
  <w:style w:type="paragraph" w:styleId="Pieddepage">
    <w:name w:val="footer"/>
    <w:basedOn w:val="Normal"/>
    <w:link w:val="PieddepageCar"/>
    <w:uiPriority w:val="99"/>
    <w:unhideWhenUsed/>
    <w:rsid w:val="004561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105"/>
  </w:style>
  <w:style w:type="paragraph" w:styleId="Textedebulles">
    <w:name w:val="Balloon Text"/>
    <w:basedOn w:val="Normal"/>
    <w:link w:val="TextedebullesCar"/>
    <w:uiPriority w:val="99"/>
    <w:semiHidden/>
    <w:unhideWhenUsed/>
    <w:rsid w:val="00456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105"/>
    <w:rPr>
      <w:rFonts w:ascii="Tahoma" w:hAnsi="Tahoma" w:cs="Tahoma"/>
      <w:sz w:val="16"/>
      <w:szCs w:val="16"/>
    </w:rPr>
  </w:style>
  <w:style w:type="paragraph" w:styleId="Sansinterligne">
    <w:name w:val="No Spacing"/>
    <w:uiPriority w:val="1"/>
    <w:qFormat/>
    <w:rsid w:val="003F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6223">
      <w:bodyDiv w:val="1"/>
      <w:marLeft w:val="0"/>
      <w:marRight w:val="0"/>
      <w:marTop w:val="0"/>
      <w:marBottom w:val="0"/>
      <w:divBdr>
        <w:top w:val="none" w:sz="0" w:space="0" w:color="auto"/>
        <w:left w:val="none" w:sz="0" w:space="0" w:color="auto"/>
        <w:bottom w:val="none" w:sz="0" w:space="0" w:color="auto"/>
        <w:right w:val="none" w:sz="0" w:space="0" w:color="auto"/>
      </w:divBdr>
    </w:div>
    <w:div w:id="454519764">
      <w:bodyDiv w:val="1"/>
      <w:marLeft w:val="0"/>
      <w:marRight w:val="0"/>
      <w:marTop w:val="0"/>
      <w:marBottom w:val="0"/>
      <w:divBdr>
        <w:top w:val="none" w:sz="0" w:space="0" w:color="auto"/>
        <w:left w:val="none" w:sz="0" w:space="0" w:color="auto"/>
        <w:bottom w:val="none" w:sz="0" w:space="0" w:color="auto"/>
        <w:right w:val="none" w:sz="0" w:space="0" w:color="auto"/>
      </w:divBdr>
    </w:div>
    <w:div w:id="1011638092">
      <w:bodyDiv w:val="1"/>
      <w:marLeft w:val="0"/>
      <w:marRight w:val="0"/>
      <w:marTop w:val="0"/>
      <w:marBottom w:val="0"/>
      <w:divBdr>
        <w:top w:val="none" w:sz="0" w:space="0" w:color="auto"/>
        <w:left w:val="none" w:sz="0" w:space="0" w:color="auto"/>
        <w:bottom w:val="none" w:sz="0" w:space="0" w:color="auto"/>
        <w:right w:val="none" w:sz="0" w:space="0" w:color="auto"/>
      </w:divBdr>
      <w:divsChild>
        <w:div w:id="361134213">
          <w:marLeft w:val="0"/>
          <w:marRight w:val="0"/>
          <w:marTop w:val="0"/>
          <w:marBottom w:val="0"/>
          <w:divBdr>
            <w:top w:val="none" w:sz="0" w:space="0" w:color="auto"/>
            <w:left w:val="none" w:sz="0" w:space="0" w:color="auto"/>
            <w:bottom w:val="none" w:sz="0" w:space="0" w:color="auto"/>
            <w:right w:val="none" w:sz="0" w:space="0" w:color="auto"/>
          </w:divBdr>
          <w:divsChild>
            <w:div w:id="5163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k:@MSITStore:C:\Program%20Files%20(x86)\ID%20Software\Platinium\aide\platinium.chm::/fiscalit&#233;/Besson/Plafonds%20et%20indice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k:@MSITStore:C:\Program%20Files%20(x86)\ID%20Software\Platinium\aide\platinium.chm::/fiscalit&#233;/Besson/Plafonds%20et%20indic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rias.fr" TargetMode="External"/><Relationship Id="rId1" Type="http://schemas.openxmlformats.org/officeDocument/2006/relationships/hyperlink" Target="mailto:christophe.aupy-fargues@cf-patrimo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E83F69F6D454EAD455A55EC320F67" ma:contentTypeVersion="6" ma:contentTypeDescription="Crée un document." ma:contentTypeScope="" ma:versionID="e6f4e30bc5ad096abca88393f1dbdc73">
  <xsd:schema xmlns:xsd="http://www.w3.org/2001/XMLSchema" xmlns:xs="http://www.w3.org/2001/XMLSchema" xmlns:p="http://schemas.microsoft.com/office/2006/metadata/properties" xmlns:ns2="f027d508-d2ad-451a-a459-794027706e6f" targetNamespace="http://schemas.microsoft.com/office/2006/metadata/properties" ma:root="true" ma:fieldsID="3dd8dfaa39fc615d41bd52882d87076f" ns2:_="">
    <xsd:import namespace="f027d508-d2ad-451a-a459-794027706e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7d508-d2ad-451a-a459-79402770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EA0C9-9DE1-4BF4-B88B-A40476ACEAF3}"/>
</file>

<file path=customXml/itemProps2.xml><?xml version="1.0" encoding="utf-8"?>
<ds:datastoreItem xmlns:ds="http://schemas.openxmlformats.org/officeDocument/2006/customXml" ds:itemID="{162AA199-D0CC-4D9A-81F8-245C5B9D3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605B0-C35C-4055-9208-9AFFC316E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739</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Christophe AUPY FARGUES</cp:lastModifiedBy>
  <cp:revision>8</cp:revision>
  <cp:lastPrinted>2017-12-11T12:44:00Z</cp:lastPrinted>
  <dcterms:created xsi:type="dcterms:W3CDTF">2016-01-14T11:48:00Z</dcterms:created>
  <dcterms:modified xsi:type="dcterms:W3CDTF">2019-05-06T08:00:00Z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0x010100494E83F69F6D454EAD455A55EC320F67</vt:lpwstr>
  </property>
</Properties>
</file>