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DF70B" w14:textId="2D15E838" w:rsidR="008D6972" w:rsidRPr="003F39C4" w:rsidRDefault="008D6972" w:rsidP="003F39C4">
      <w:pPr>
        <w:pStyle w:val="Sansinterligne"/>
        <w:rPr>
          <w:b/>
          <w:sz w:val="36"/>
          <w:szCs w:val="36"/>
        </w:rPr>
      </w:pPr>
      <w:r w:rsidRPr="003F39C4">
        <w:rPr>
          <w:b/>
          <w:sz w:val="36"/>
          <w:szCs w:val="36"/>
        </w:rPr>
        <w:t>RAPPEL à la loi</w:t>
      </w:r>
      <w:bookmarkStart w:id="0" w:name="_GoBack"/>
      <w:bookmarkEnd w:id="0"/>
      <w:r w:rsidR="003F39C4">
        <w:rPr>
          <w:sz w:val="36"/>
          <w:szCs w:val="36"/>
        </w:rPr>
        <w:t xml:space="preserve"> </w:t>
      </w:r>
      <w:r w:rsidRPr="003F39C4">
        <w:rPr>
          <w:b/>
          <w:sz w:val="36"/>
          <w:szCs w:val="36"/>
        </w:rPr>
        <w:t>:</w:t>
      </w:r>
    </w:p>
    <w:p w14:paraId="626DF70C" w14:textId="77777777" w:rsidR="00433815" w:rsidRPr="008D6972" w:rsidRDefault="008D6972" w:rsidP="008D6972">
      <w:pPr>
        <w:pStyle w:val="Paragraphedeliste"/>
        <w:numPr>
          <w:ilvl w:val="0"/>
          <w:numId w:val="1"/>
        </w:numPr>
        <w:rPr>
          <w:sz w:val="24"/>
          <w:szCs w:val="24"/>
        </w:rPr>
      </w:pPr>
      <w:r w:rsidRPr="008D6972">
        <w:rPr>
          <w:sz w:val="24"/>
          <w:szCs w:val="24"/>
        </w:rPr>
        <w:t>Le dispositif PINEL</w:t>
      </w:r>
    </w:p>
    <w:p w14:paraId="626DF70D" w14:textId="77777777" w:rsidR="008D6972" w:rsidRPr="008D6972" w:rsidRDefault="008D6972" w:rsidP="008D6972">
      <w:pPr>
        <w:pStyle w:val="Paragraphedeliste"/>
        <w:numPr>
          <w:ilvl w:val="0"/>
          <w:numId w:val="1"/>
        </w:numPr>
        <w:rPr>
          <w:sz w:val="24"/>
          <w:szCs w:val="24"/>
        </w:rPr>
      </w:pPr>
      <w:r w:rsidRPr="008D6972">
        <w:rPr>
          <w:sz w:val="24"/>
          <w:szCs w:val="24"/>
        </w:rPr>
        <w:t>Mise en location</w:t>
      </w:r>
    </w:p>
    <w:p w14:paraId="626DF70E" w14:textId="77777777" w:rsidR="008D6972" w:rsidRPr="008D6972" w:rsidRDefault="008D6972" w:rsidP="008D6972">
      <w:pPr>
        <w:pStyle w:val="Paragraphedeliste"/>
        <w:numPr>
          <w:ilvl w:val="0"/>
          <w:numId w:val="1"/>
        </w:numPr>
        <w:rPr>
          <w:sz w:val="24"/>
          <w:szCs w:val="24"/>
        </w:rPr>
      </w:pPr>
      <w:r w:rsidRPr="008D6972">
        <w:rPr>
          <w:sz w:val="24"/>
          <w:szCs w:val="24"/>
        </w:rPr>
        <w:t>Plafonds de loyer</w:t>
      </w:r>
    </w:p>
    <w:p w14:paraId="626DF70F" w14:textId="77777777" w:rsidR="008D6972" w:rsidRPr="008D6972" w:rsidRDefault="008D6972" w:rsidP="008D6972">
      <w:pPr>
        <w:pStyle w:val="Paragraphedeliste"/>
        <w:numPr>
          <w:ilvl w:val="0"/>
          <w:numId w:val="1"/>
        </w:numPr>
        <w:rPr>
          <w:sz w:val="24"/>
          <w:szCs w:val="24"/>
        </w:rPr>
      </w:pPr>
      <w:r w:rsidRPr="008D6972">
        <w:rPr>
          <w:sz w:val="24"/>
          <w:szCs w:val="24"/>
        </w:rPr>
        <w:t>Plafonds de ressources des locataires</w:t>
      </w:r>
      <w:r w:rsidR="002B366C">
        <w:rPr>
          <w:sz w:val="24"/>
          <w:szCs w:val="24"/>
        </w:rPr>
        <w:t xml:space="preserve"> &amp; location à un ascendant ou descendant</w:t>
      </w:r>
    </w:p>
    <w:p w14:paraId="626DF710" w14:textId="77777777" w:rsidR="008D6972" w:rsidRDefault="008D6972" w:rsidP="008D6972">
      <w:pPr>
        <w:pStyle w:val="NormalWeb"/>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rPr>
        <w:t>Le dispositif d’aide à l’investissement locatif, entré en vigueur le 1er janvier 2013, permet de bénéficier d’une réduction d’impôt sur le revenu pour l’acquisition ou la construction d’un logement neuf, en contrepartie d’un engagement à le louer nu à usage d’habitation principale et à un prix inférieur à celui du marché, pendant six ans minimum. Il peut être prolongé en option à neuf ou douze ans.</w:t>
      </w:r>
    </w:p>
    <w:p w14:paraId="626DF711" w14:textId="77777777" w:rsidR="008D6972" w:rsidRDefault="008D6972" w:rsidP="008D6972">
      <w:pPr>
        <w:pStyle w:val="NormalWeb"/>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rPr>
        <w:t>Si un particulier investisseur acquiert ou fait construire un logement neuf ou en l’état futur d’achèvement entre le 1er septembre 2014 et le 31 décembre 2016, il peut bénéficier d’une réduction d’impôt sur le revenu, étalée sur six, neuf ou douze ans, s’élevant à 12, 18 ou 21 % du prix d’achat du logement en fonction de l’option fiscale retenue, dans la double limite de 300 000 € et d’un plafond de 5 500 € au m².</w:t>
      </w:r>
    </w:p>
    <w:p w14:paraId="626DF712" w14:textId="77777777" w:rsidR="008D6972" w:rsidRDefault="008D6972" w:rsidP="008D6972">
      <w:pPr>
        <w:pStyle w:val="NormalWeb"/>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rPr>
        <w:t>Les revenus de votre (ou de vos) locataire(s) doivent également être inférieurs à un plafond de ressources.  Le locataire peut -être l’ascendant ou le descendant du propriétaire. A condition que celui-ci ne soit pas membre du foyer fiscal du propriétaire ;</w:t>
      </w:r>
    </w:p>
    <w:p w14:paraId="626DF713" w14:textId="77777777" w:rsidR="008D6972" w:rsidRDefault="008D6972" w:rsidP="008D6972">
      <w:pPr>
        <w:pStyle w:val="NormalWeb"/>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rPr>
        <w:t xml:space="preserve"> Il faut également que le logement respecte un niveau de performance énergétique globale, il s’agit du respect de la réglementation thermique 2012 (« RT 2012 »), ou de l’obtention du label « Bâtiment basse consommation, BBC 2005 »</w:t>
      </w:r>
    </w:p>
    <w:p w14:paraId="626DF714" w14:textId="77777777" w:rsidR="008D6972" w:rsidRDefault="008D6972" w:rsidP="008D6972">
      <w:pPr>
        <w:pStyle w:val="NormalWeb"/>
        <w:pBdr>
          <w:top w:val="single" w:sz="4" w:space="1" w:color="auto"/>
          <w:left w:val="single" w:sz="4" w:space="4" w:color="auto"/>
          <w:bottom w:val="single" w:sz="4" w:space="1" w:color="auto"/>
          <w:right w:val="single" w:sz="4" w:space="4" w:color="auto"/>
        </w:pBdr>
        <w:rPr>
          <w:rFonts w:ascii="Book Antiqua" w:hAnsi="Book Antiqua"/>
          <w:u w:val="single"/>
        </w:rPr>
      </w:pPr>
      <w:r>
        <w:rPr>
          <w:rFonts w:ascii="Book Antiqua" w:hAnsi="Book Antiqua"/>
          <w:u w:val="single"/>
        </w:rPr>
        <w:t>Un avantage fiscal qui vous engage à respecter certaines conditions</w:t>
      </w:r>
    </w:p>
    <w:p w14:paraId="626DF715" w14:textId="77777777" w:rsidR="008D6972" w:rsidRDefault="008D6972" w:rsidP="008D6972">
      <w:pPr>
        <w:pStyle w:val="NormalWeb"/>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rPr>
        <w:t xml:space="preserve"> Si vous bénéficiez d’une réduction d’impôt au titre de votre investissement, qu’il s’agisse de la réduction d’impôt liée au dispositif d’aide à l’investissement locatif, vous devez respecter certaines conditions de location (notamment, loyers et ressources du locataire plafonnés), pendant plusieurs années, le plus souvent 9 ans.</w:t>
      </w:r>
    </w:p>
    <w:p w14:paraId="626DF716" w14:textId="77777777" w:rsidR="008D6972" w:rsidRDefault="008D6972" w:rsidP="008D6972">
      <w:pPr>
        <w:pStyle w:val="NormalWeb"/>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rPr>
        <w:lastRenderedPageBreak/>
        <w:t xml:space="preserve">Dans le cas du dispositif dit « PINEL » d’aide à l’investissement locatif dans le neuf, vous devez louer votre logement dans les douze mois qui suivent l’achèvement ou l’acquisition du logement si cette acquisition est postérieure à l’achèvement. </w:t>
      </w:r>
      <w:r w:rsidRPr="00936C8D">
        <w:rPr>
          <w:rFonts w:ascii="Book Antiqua" w:hAnsi="Book Antiqua"/>
          <w:b/>
          <w:u w:val="single"/>
        </w:rPr>
        <w:t>Si la location n’intervient pas dans ce délai,</w:t>
      </w:r>
      <w:r>
        <w:rPr>
          <w:rFonts w:ascii="Book Antiqua" w:hAnsi="Book Antiqua"/>
        </w:rPr>
        <w:t xml:space="preserve"> </w:t>
      </w:r>
      <w:r w:rsidRPr="00936C8D">
        <w:rPr>
          <w:rFonts w:ascii="Book Antiqua" w:hAnsi="Book Antiqua"/>
          <w:b/>
          <w:u w:val="single"/>
        </w:rPr>
        <w:t>même si vous parvenez à trouver un locataire au-delà de ces douze mois, vous perdrez le droit au bénéfice de la réduction d’impôt.</w:t>
      </w:r>
    </w:p>
    <w:p w14:paraId="626DF717" w14:textId="77777777" w:rsidR="008D6972" w:rsidRDefault="008D6972" w:rsidP="008D6972">
      <w:pPr>
        <w:pStyle w:val="NormalWeb"/>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rPr>
        <w:t>Il vous est par ailleurs impossible de reprendre le logement pour le vendre ou l’occuper pendant toute la période d’engagement de location, soit neuf ans, sans devoir rembourser la réduction d’impôt perçue (sauf cas de force majeure définis par doctrine fiscale).</w:t>
      </w:r>
    </w:p>
    <w:p w14:paraId="626DF718" w14:textId="77777777" w:rsidR="008D6972" w:rsidRDefault="008D6972" w:rsidP="008D6972">
      <w:pPr>
        <w:pStyle w:val="NormalWeb"/>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rPr>
        <w:t>Ce type d’opération est limité pour chaque propriétaire investisseur à deux logements par an au maximum (dans la limite d’un investissement total de 300 000 € par an). La réduction d’impôt que permet ce dispositif est inclus dans le plafonnement global à 10 000 € des avantages fiscaux.</w:t>
      </w:r>
    </w:p>
    <w:p w14:paraId="626DF719" w14:textId="77777777" w:rsidR="008D6972" w:rsidRDefault="008D6972" w:rsidP="008D6972">
      <w:pPr>
        <w:pStyle w:val="NormalWeb"/>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b/>
          <w:bCs/>
        </w:rPr>
        <w:t>Plafonds de loyer</w:t>
      </w:r>
    </w:p>
    <w:p w14:paraId="626DF71A" w14:textId="77777777" w:rsidR="008D6972" w:rsidRDefault="008D6972" w:rsidP="008D6972">
      <w:pPr>
        <w:pStyle w:val="NormalWeb"/>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rPr>
        <w:t>Le loyer mensuel par mètre carré, hors charges, ne doit pas être supérieur, pendant toute la période couverte par l’engagement de location, aux plafonds fixés par décret selon la zone dans laquelle se situe le logement.</w:t>
      </w:r>
    </w:p>
    <w:p w14:paraId="626DF71B" w14:textId="77777777" w:rsidR="008D6972" w:rsidRDefault="008D6972" w:rsidP="008D6972">
      <w:pPr>
        <w:pStyle w:val="NormalWeb"/>
        <w:pBdr>
          <w:top w:val="single" w:sz="4" w:space="1" w:color="auto"/>
          <w:left w:val="single" w:sz="4" w:space="4" w:color="auto"/>
          <w:bottom w:val="single" w:sz="4" w:space="1" w:color="auto"/>
          <w:right w:val="single" w:sz="4" w:space="4" w:color="auto"/>
        </w:pBdr>
        <w:rPr>
          <w:rFonts w:ascii="Book Antiqua" w:hAnsi="Book Antiqua"/>
          <w:b/>
          <w:bCs/>
        </w:rPr>
      </w:pPr>
      <w:r>
        <w:rPr>
          <w:rFonts w:ascii="Book Antiqua" w:hAnsi="Book Antiqua"/>
        </w:rPr>
        <w:t xml:space="preserve">Ces </w:t>
      </w:r>
      <w:hyperlink r:id="rId10" w:anchor="loyersduflot2013" w:history="1">
        <w:r>
          <w:rPr>
            <w:rStyle w:val="Lienhypertexte"/>
            <w:rFonts w:ascii="Book Antiqua" w:eastAsia="Calibri" w:hAnsi="Book Antiqua"/>
          </w:rPr>
          <w:t>plafonds</w:t>
        </w:r>
      </w:hyperlink>
      <w:r>
        <w:rPr>
          <w:rFonts w:ascii="Book Antiqua" w:hAnsi="Book Antiqua"/>
        </w:rPr>
        <w:t xml:space="preserve"> de loyer sont relevés chaque année, au 1er janvier, dans la même proportion que la variation de l’indice de référence des loyers (IRL) publié par l’INSEE.</w:t>
      </w:r>
    </w:p>
    <w:p w14:paraId="626DF71C" w14:textId="77777777" w:rsidR="00456105" w:rsidRDefault="00456105" w:rsidP="008D6972">
      <w:pPr>
        <w:pStyle w:val="NormalWeb"/>
        <w:pBdr>
          <w:top w:val="single" w:sz="4" w:space="1" w:color="auto"/>
          <w:left w:val="single" w:sz="4" w:space="4" w:color="auto"/>
          <w:bottom w:val="single" w:sz="4" w:space="1" w:color="auto"/>
          <w:right w:val="single" w:sz="4" w:space="4" w:color="auto"/>
        </w:pBdr>
        <w:rPr>
          <w:rFonts w:ascii="Book Antiqua" w:hAnsi="Book Antiqua"/>
          <w:b/>
          <w:bCs/>
        </w:rPr>
      </w:pPr>
    </w:p>
    <w:p w14:paraId="626DF71D" w14:textId="77777777" w:rsidR="00456105" w:rsidRDefault="00456105" w:rsidP="008D6972">
      <w:pPr>
        <w:pStyle w:val="NormalWeb"/>
        <w:pBdr>
          <w:top w:val="single" w:sz="4" w:space="1" w:color="auto"/>
          <w:left w:val="single" w:sz="4" w:space="4" w:color="auto"/>
          <w:bottom w:val="single" w:sz="4" w:space="1" w:color="auto"/>
          <w:right w:val="single" w:sz="4" w:space="4" w:color="auto"/>
        </w:pBdr>
        <w:rPr>
          <w:rFonts w:ascii="Book Antiqua" w:hAnsi="Book Antiqua"/>
          <w:b/>
          <w:bCs/>
        </w:rPr>
      </w:pPr>
    </w:p>
    <w:p w14:paraId="626DF71E" w14:textId="77777777" w:rsidR="00456105" w:rsidRDefault="00456105" w:rsidP="008D6972">
      <w:pPr>
        <w:pStyle w:val="NormalWeb"/>
        <w:pBdr>
          <w:top w:val="single" w:sz="4" w:space="1" w:color="auto"/>
          <w:left w:val="single" w:sz="4" w:space="4" w:color="auto"/>
          <w:bottom w:val="single" w:sz="4" w:space="1" w:color="auto"/>
          <w:right w:val="single" w:sz="4" w:space="4" w:color="auto"/>
        </w:pBdr>
        <w:rPr>
          <w:rFonts w:ascii="Book Antiqua" w:hAnsi="Book Antiqua"/>
          <w:b/>
          <w:bCs/>
        </w:rPr>
      </w:pPr>
    </w:p>
    <w:p w14:paraId="626DF71F" w14:textId="77777777" w:rsidR="00456105" w:rsidRDefault="00456105" w:rsidP="008D6972">
      <w:pPr>
        <w:pStyle w:val="NormalWeb"/>
        <w:pBdr>
          <w:top w:val="single" w:sz="4" w:space="1" w:color="auto"/>
          <w:left w:val="single" w:sz="4" w:space="4" w:color="auto"/>
          <w:bottom w:val="single" w:sz="4" w:space="1" w:color="auto"/>
          <w:right w:val="single" w:sz="4" w:space="4" w:color="auto"/>
        </w:pBdr>
        <w:rPr>
          <w:rFonts w:ascii="Book Antiqua" w:hAnsi="Book Antiqua"/>
          <w:b/>
          <w:bCs/>
        </w:rPr>
      </w:pPr>
    </w:p>
    <w:p w14:paraId="626DF720" w14:textId="77777777" w:rsidR="00456105" w:rsidRDefault="00456105" w:rsidP="008D6972">
      <w:pPr>
        <w:pStyle w:val="NormalWeb"/>
        <w:pBdr>
          <w:top w:val="single" w:sz="4" w:space="1" w:color="auto"/>
          <w:left w:val="single" w:sz="4" w:space="4" w:color="auto"/>
          <w:bottom w:val="single" w:sz="4" w:space="1" w:color="auto"/>
          <w:right w:val="single" w:sz="4" w:space="4" w:color="auto"/>
        </w:pBdr>
        <w:rPr>
          <w:rFonts w:ascii="Book Antiqua" w:hAnsi="Book Antiqua"/>
          <w:b/>
          <w:bCs/>
        </w:rPr>
      </w:pPr>
    </w:p>
    <w:p w14:paraId="626DF721" w14:textId="77777777" w:rsidR="008D6972" w:rsidRDefault="008D6972" w:rsidP="008D6972">
      <w:pPr>
        <w:pStyle w:val="NormalWeb"/>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b/>
          <w:bCs/>
        </w:rPr>
        <w:t>Plafonds de ressources</w:t>
      </w:r>
    </w:p>
    <w:p w14:paraId="626DF722" w14:textId="77777777" w:rsidR="008D6972" w:rsidRDefault="008D6972" w:rsidP="008D6972">
      <w:pPr>
        <w:pStyle w:val="NormalWeb"/>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rPr>
        <w:t>Les ressources du locataire s’entendent du revenu fiscal de référence du foyer figurant sur l’avis d’imposition établi au titre de l’avant-dernière année précédant celle de la signature du contrat de location (n-2).</w:t>
      </w:r>
    </w:p>
    <w:p w14:paraId="626DF723" w14:textId="77777777" w:rsidR="008D6972" w:rsidRDefault="008D6972" w:rsidP="008D6972">
      <w:pPr>
        <w:pStyle w:val="NormalWeb"/>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rPr>
        <w:t>Le plafond de ressources à retenir s’apprécie à la date de signature du bail en tenant compte du nombre de personnes titulaires du bail et de la composition de leurs foyers fiscaux.</w:t>
      </w:r>
    </w:p>
    <w:p w14:paraId="626DF724" w14:textId="77777777" w:rsidR="008D6972" w:rsidRDefault="008D6972" w:rsidP="008D6972">
      <w:pPr>
        <w:pStyle w:val="NormalWeb"/>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rPr>
        <w:t xml:space="preserve">Les </w:t>
      </w:r>
      <w:hyperlink r:id="rId11" w:anchor="loyersduflot2013" w:history="1">
        <w:r>
          <w:rPr>
            <w:rStyle w:val="Lienhypertexte"/>
            <w:rFonts w:ascii="Book Antiqua" w:eastAsia="Calibri" w:hAnsi="Book Antiqua"/>
          </w:rPr>
          <w:t>plafonds</w:t>
        </w:r>
      </w:hyperlink>
      <w:r>
        <w:rPr>
          <w:rFonts w:ascii="Book Antiqua" w:hAnsi="Book Antiqua"/>
        </w:rPr>
        <w:t xml:space="preserve"> de ressources, fixés par décret, sont révisés chaque année, en fonction de l’évolution annuelle du salaire minimum de croissance.</w:t>
      </w:r>
    </w:p>
    <w:p w14:paraId="626DF725" w14:textId="77777777" w:rsidR="002B366C" w:rsidRDefault="002B366C" w:rsidP="002B366C">
      <w:pPr>
        <w:pStyle w:val="NormalWeb"/>
        <w:pBdr>
          <w:top w:val="single" w:sz="4" w:space="1" w:color="auto"/>
          <w:left w:val="single" w:sz="4" w:space="4" w:color="auto"/>
          <w:bottom w:val="single" w:sz="4" w:space="1" w:color="auto"/>
          <w:right w:val="single" w:sz="4" w:space="4" w:color="auto"/>
        </w:pBdr>
        <w:rPr>
          <w:rFonts w:ascii="Book Antiqua" w:hAnsi="Book Antiqua"/>
          <w:b/>
          <w:bCs/>
        </w:rPr>
      </w:pPr>
      <w:r>
        <w:rPr>
          <w:rFonts w:ascii="Book Antiqua" w:hAnsi="Book Antiqua"/>
          <w:b/>
          <w:bCs/>
        </w:rPr>
        <w:t>Les conditions de location à sa famille :</w:t>
      </w:r>
    </w:p>
    <w:p w14:paraId="626DF726" w14:textId="77777777" w:rsidR="002B366C" w:rsidRDefault="002B366C" w:rsidP="002B366C">
      <w:pPr>
        <w:pStyle w:val="NormalWeb"/>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rPr>
        <w:t>Les investisseurs qui souhaitent loger leurs enfants ou leurs parents dans un bien acquis sous le dispositif PINEL devront respecter les conditions suivantes :</w:t>
      </w:r>
    </w:p>
    <w:p w14:paraId="626DF727" w14:textId="77777777" w:rsidR="002B366C" w:rsidRPr="00216A38" w:rsidRDefault="002B366C" w:rsidP="002B366C">
      <w:pPr>
        <w:pStyle w:val="NormalWeb"/>
        <w:pBdr>
          <w:top w:val="single" w:sz="4" w:space="1" w:color="auto"/>
          <w:left w:val="single" w:sz="4" w:space="4" w:color="auto"/>
          <w:bottom w:val="single" w:sz="4" w:space="1" w:color="auto"/>
          <w:right w:val="single" w:sz="4" w:space="4" w:color="auto"/>
        </w:pBdr>
        <w:rPr>
          <w:rFonts w:ascii="Book Antiqua" w:hAnsi="Book Antiqua"/>
          <w:u w:val="single"/>
        </w:rPr>
      </w:pPr>
      <w:r>
        <w:rPr>
          <w:rFonts w:ascii="Book Antiqua" w:hAnsi="Book Antiqua"/>
        </w:rPr>
        <w:t xml:space="preserve">- Le locataire, qu’il s’agisse d’un parent ou d’un enfant, ne devra </w:t>
      </w:r>
      <w:r w:rsidRPr="00216A38">
        <w:rPr>
          <w:rFonts w:ascii="Book Antiqua" w:hAnsi="Book Antiqua"/>
          <w:u w:val="single"/>
        </w:rPr>
        <w:t>pas être rattaché au foyer fiscal du propriétaire</w:t>
      </w:r>
    </w:p>
    <w:p w14:paraId="626DF728" w14:textId="77777777" w:rsidR="002B366C" w:rsidRDefault="002B366C" w:rsidP="002B366C">
      <w:pPr>
        <w:pStyle w:val="NormalWeb"/>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rPr>
        <w:t>- les autres conditions du dispositif s’appliquant normalement</w:t>
      </w:r>
    </w:p>
    <w:p w14:paraId="626DF729" w14:textId="77777777" w:rsidR="002B366C" w:rsidRDefault="002B366C" w:rsidP="002B366C">
      <w:pPr>
        <w:pStyle w:val="NormalWeb"/>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rPr>
        <w:t xml:space="preserve">Par ailleurs, les enfants locataires </w:t>
      </w:r>
      <w:r w:rsidRPr="00216A38">
        <w:rPr>
          <w:rFonts w:ascii="Book Antiqua" w:hAnsi="Book Antiqua"/>
          <w:u w:val="single"/>
        </w:rPr>
        <w:t>ne bénéficieront pas de l’aide au logement</w:t>
      </w:r>
      <w:r>
        <w:rPr>
          <w:rFonts w:ascii="Book Antiqua" w:hAnsi="Book Antiqua"/>
        </w:rPr>
        <w:t xml:space="preserve"> lorsqu’ils louent un bien à leurs parents</w:t>
      </w:r>
    </w:p>
    <w:p w14:paraId="626DF72A" w14:textId="77777777" w:rsidR="00456105" w:rsidRDefault="00456105"/>
    <w:p w14:paraId="626DF72B" w14:textId="77777777" w:rsidR="008D6972" w:rsidRDefault="00456105">
      <w:r>
        <w:t>F</w:t>
      </w:r>
      <w:r w:rsidR="008D6972">
        <w:t xml:space="preserve">ait à </w:t>
      </w:r>
      <w:r w:rsidR="002B366C">
        <w:t xml:space="preserve">                                                                                 Le :</w:t>
      </w:r>
    </w:p>
    <w:p w14:paraId="626DF72C" w14:textId="77777777" w:rsidR="00456105" w:rsidRDefault="00456105">
      <w:r>
        <w:t>Signature précédée de la mention « lu et approuvé »</w:t>
      </w:r>
    </w:p>
    <w:sectPr w:rsidR="00456105" w:rsidSect="0043381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6E7D0" w14:textId="77777777" w:rsidR="00EE1CB3" w:rsidRDefault="00EE1CB3" w:rsidP="00456105">
      <w:pPr>
        <w:spacing w:after="0" w:line="240" w:lineRule="auto"/>
      </w:pPr>
      <w:r>
        <w:separator/>
      </w:r>
    </w:p>
  </w:endnote>
  <w:endnote w:type="continuationSeparator" w:id="0">
    <w:p w14:paraId="653F69D8" w14:textId="77777777" w:rsidR="00EE1CB3" w:rsidRDefault="00EE1CB3" w:rsidP="0045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F732" w14:textId="77777777" w:rsidR="00456105" w:rsidRDefault="00456105" w:rsidP="00456105">
    <w:pPr>
      <w:spacing w:after="0" w:line="240" w:lineRule="auto"/>
      <w:jc w:val="center"/>
      <w:rPr>
        <w:rFonts w:ascii="Garamond" w:eastAsia="Times New Roman" w:hAnsi="Garamond" w:cs="Times New Roman"/>
        <w:kern w:val="18"/>
        <w:sz w:val="14"/>
        <w:szCs w:val="14"/>
      </w:rPr>
    </w:pPr>
  </w:p>
  <w:p w14:paraId="626DF733" w14:textId="77777777" w:rsidR="00456105" w:rsidRPr="00456105" w:rsidRDefault="00456105" w:rsidP="00456105">
    <w:pPr>
      <w:rPr>
        <w:rFonts w:eastAsiaTheme="minorEastAsia"/>
        <w:lang w:eastAsia="fr-FR"/>
      </w:rPr>
    </w:pPr>
    <w:r w:rsidRPr="00456105">
      <w:rPr>
        <w:rFonts w:eastAsiaTheme="minorEastAsia"/>
        <w:i/>
        <w:lang w:eastAsia="fr-FR"/>
      </w:rPr>
      <w:t>Document non contractuel et conforme aux données communiquées</w:t>
    </w:r>
  </w:p>
  <w:p w14:paraId="626DF734" w14:textId="77777777" w:rsidR="00456105" w:rsidRPr="00456105" w:rsidRDefault="00456105" w:rsidP="00456105">
    <w:pPr>
      <w:spacing w:after="0" w:line="240" w:lineRule="auto"/>
      <w:jc w:val="center"/>
      <w:rPr>
        <w:rFonts w:ascii="Garamond" w:eastAsia="Times New Roman" w:hAnsi="Garamond" w:cs="Times New Roman"/>
        <w:kern w:val="18"/>
        <w:sz w:val="14"/>
        <w:szCs w:val="14"/>
      </w:rPr>
    </w:pPr>
    <w:r w:rsidRPr="00456105">
      <w:rPr>
        <w:rFonts w:ascii="Garamond" w:eastAsia="Times New Roman" w:hAnsi="Garamond" w:cs="Times New Roman"/>
        <w:kern w:val="18"/>
        <w:sz w:val="14"/>
        <w:szCs w:val="14"/>
      </w:rPr>
      <w:t xml:space="preserve">20 rue Mercœur 44000 NANTES – Tel : 02 40 89 30 46 - @ </w:t>
    </w:r>
    <w:hyperlink r:id="rId1" w:history="1">
      <w:r w:rsidRPr="00456105">
        <w:rPr>
          <w:rFonts w:ascii="Garamond" w:eastAsia="Times New Roman" w:hAnsi="Garamond" w:cs="Times New Roman"/>
          <w:color w:val="0000FF"/>
          <w:kern w:val="18"/>
          <w:sz w:val="14"/>
          <w:szCs w:val="14"/>
          <w:u w:val="single"/>
        </w:rPr>
        <w:t>christophe.aupy-fargues@cf-patrimoine.com</w:t>
      </w:r>
    </w:hyperlink>
  </w:p>
  <w:p w14:paraId="626DF735" w14:textId="77777777" w:rsidR="00456105" w:rsidRPr="00456105" w:rsidRDefault="00456105" w:rsidP="00456105">
    <w:pPr>
      <w:spacing w:after="0" w:line="240" w:lineRule="auto"/>
      <w:jc w:val="center"/>
      <w:rPr>
        <w:rFonts w:ascii="Garamond" w:eastAsia="Times New Roman" w:hAnsi="Garamond" w:cs="Times New Roman"/>
        <w:kern w:val="18"/>
        <w:sz w:val="14"/>
        <w:szCs w:val="14"/>
      </w:rPr>
    </w:pPr>
    <w:r w:rsidRPr="00456105">
      <w:rPr>
        <w:rFonts w:ascii="Garamond" w:eastAsia="Times New Roman" w:hAnsi="Garamond" w:cs="Times New Roman"/>
        <w:kern w:val="18"/>
        <w:sz w:val="14"/>
        <w:szCs w:val="14"/>
      </w:rPr>
      <w:t>SARL au capital de 2 500 € - RCS NANTES 452 685 738 – TVA FR 93452685738</w:t>
    </w:r>
  </w:p>
  <w:p w14:paraId="626DF736" w14:textId="77777777" w:rsidR="00456105" w:rsidRPr="00456105" w:rsidRDefault="00456105" w:rsidP="00456105">
    <w:pPr>
      <w:spacing w:after="0" w:line="240" w:lineRule="auto"/>
      <w:jc w:val="center"/>
      <w:rPr>
        <w:rFonts w:ascii="Garamond" w:eastAsia="Times New Roman" w:hAnsi="Garamond" w:cs="Times New Roman"/>
        <w:kern w:val="18"/>
        <w:sz w:val="14"/>
        <w:szCs w:val="14"/>
      </w:rPr>
    </w:pPr>
    <w:r w:rsidRPr="00456105">
      <w:rPr>
        <w:rFonts w:ascii="Garamond" w:eastAsia="Times New Roman" w:hAnsi="Garamond" w:cs="Times New Roman"/>
        <w:kern w:val="18"/>
        <w:sz w:val="14"/>
        <w:szCs w:val="14"/>
      </w:rPr>
      <w:t>RCP et Garantie Financière N° 105708080 COVEA RISK – ICAP 0003800 et GFICAP0003801 souscrit auprès de QBE Insurance</w:t>
    </w:r>
  </w:p>
  <w:p w14:paraId="626DF737" w14:textId="77777777" w:rsidR="00456105" w:rsidRPr="00456105" w:rsidRDefault="00456105" w:rsidP="00456105">
    <w:pPr>
      <w:spacing w:after="0" w:line="240" w:lineRule="auto"/>
      <w:jc w:val="center"/>
      <w:rPr>
        <w:rFonts w:ascii="Garamond" w:eastAsia="Times New Roman" w:hAnsi="Garamond" w:cs="Times New Roman"/>
        <w:kern w:val="18"/>
        <w:sz w:val="14"/>
        <w:szCs w:val="14"/>
      </w:rPr>
    </w:pPr>
    <w:r w:rsidRPr="00456105">
      <w:rPr>
        <w:rFonts w:ascii="Garamond" w:eastAsia="Times New Roman" w:hAnsi="Garamond" w:cs="Times New Roman"/>
        <w:kern w:val="18"/>
        <w:sz w:val="14"/>
        <w:szCs w:val="14"/>
      </w:rPr>
      <w:t>Conseiller en Investissement Financier inscrit sous le n° E003158 auprès de l’ANACOFI – Association Nationale des Conseillers Financiers agréée auprès de l’AMF (Autorités des Marchés Financiers)</w:t>
    </w:r>
  </w:p>
  <w:p w14:paraId="626DF738" w14:textId="77777777" w:rsidR="00456105" w:rsidRPr="00456105" w:rsidRDefault="00456105" w:rsidP="00456105">
    <w:pPr>
      <w:spacing w:after="0" w:line="240" w:lineRule="auto"/>
      <w:jc w:val="center"/>
      <w:rPr>
        <w:rFonts w:ascii="Garamond" w:eastAsia="Times New Roman" w:hAnsi="Garamond" w:cs="Times New Roman"/>
        <w:kern w:val="18"/>
        <w:sz w:val="14"/>
        <w:szCs w:val="14"/>
      </w:rPr>
    </w:pPr>
    <w:r w:rsidRPr="00456105">
      <w:rPr>
        <w:rFonts w:ascii="Garamond" w:eastAsia="Times New Roman" w:hAnsi="Garamond" w:cs="Times New Roman"/>
        <w:kern w:val="18"/>
        <w:sz w:val="14"/>
        <w:szCs w:val="14"/>
      </w:rPr>
      <w:t xml:space="preserve">Société de Courtage en Assurance immatriculée auprès de l’Organisme pour le Registre des Intermédiaires en Assurance (ORIAS) sous le N° 07-003-958 – </w:t>
    </w:r>
    <w:hyperlink r:id="rId2" w:history="1">
      <w:r w:rsidRPr="00456105">
        <w:rPr>
          <w:rFonts w:ascii="Garamond" w:eastAsia="Times New Roman" w:hAnsi="Garamond" w:cs="Times New Roman"/>
          <w:color w:val="0000FF"/>
          <w:kern w:val="18"/>
          <w:sz w:val="14"/>
          <w:szCs w:val="14"/>
          <w:u w:val="single"/>
        </w:rPr>
        <w:t>www.orias.fr</w:t>
      </w:r>
    </w:hyperlink>
  </w:p>
  <w:p w14:paraId="626DF739" w14:textId="77777777" w:rsidR="00456105" w:rsidRPr="00456105" w:rsidRDefault="00456105" w:rsidP="00456105">
    <w:pPr>
      <w:spacing w:after="0" w:line="240" w:lineRule="auto"/>
      <w:jc w:val="center"/>
      <w:rPr>
        <w:rFonts w:ascii="Garamond" w:eastAsia="Times New Roman" w:hAnsi="Garamond" w:cs="Times New Roman"/>
        <w:kern w:val="18"/>
        <w:sz w:val="14"/>
        <w:szCs w:val="14"/>
      </w:rPr>
    </w:pPr>
    <w:r w:rsidRPr="00456105">
      <w:rPr>
        <w:rFonts w:ascii="Garamond" w:eastAsia="Times New Roman" w:hAnsi="Garamond" w:cs="Times New Roman"/>
        <w:kern w:val="18"/>
        <w:sz w:val="14"/>
        <w:szCs w:val="14"/>
      </w:rPr>
      <w:t>Carte de démarchage bancaire et financier N° 1102282382UI</w:t>
    </w:r>
  </w:p>
  <w:p w14:paraId="626DF73A" w14:textId="77777777" w:rsidR="00456105" w:rsidRPr="00456105" w:rsidRDefault="00456105" w:rsidP="00456105">
    <w:pPr>
      <w:spacing w:after="0" w:line="240" w:lineRule="auto"/>
      <w:jc w:val="center"/>
      <w:rPr>
        <w:rFonts w:ascii="Garamond" w:eastAsia="Times New Roman" w:hAnsi="Garamond" w:cs="Times New Roman"/>
        <w:kern w:val="18"/>
        <w:sz w:val="14"/>
        <w:szCs w:val="14"/>
      </w:rPr>
    </w:pPr>
    <w:r w:rsidRPr="00456105">
      <w:rPr>
        <w:rFonts w:ascii="Garamond" w:eastAsia="Times New Roman" w:hAnsi="Garamond" w:cs="Times New Roman"/>
        <w:kern w:val="18"/>
        <w:sz w:val="14"/>
        <w:szCs w:val="14"/>
      </w:rPr>
      <w:t>Carte Professionnelle de Transactions sur Immeubles et Fonds de Commerce et Gestion Immobilière  N° CPI 44012015 000 002 794 délivrée par la CCI NANTES-SAINT NAZAIRE</w:t>
    </w:r>
  </w:p>
  <w:p w14:paraId="626DF73B" w14:textId="77777777" w:rsidR="00456105" w:rsidRPr="00456105" w:rsidRDefault="00456105" w:rsidP="00456105">
    <w:pPr>
      <w:spacing w:after="0" w:line="240" w:lineRule="auto"/>
      <w:jc w:val="center"/>
      <w:rPr>
        <w:rFonts w:ascii="Garamond" w:eastAsia="Times New Roman" w:hAnsi="Garamond" w:cs="Times New Roman"/>
        <w:kern w:val="18"/>
        <w:sz w:val="14"/>
        <w:szCs w:val="14"/>
      </w:rPr>
    </w:pPr>
    <w:r w:rsidRPr="00456105">
      <w:rPr>
        <w:rFonts w:ascii="Garamond" w:eastAsia="Times New Roman" w:hAnsi="Garamond" w:cs="Times New Roman"/>
        <w:kern w:val="18"/>
        <w:sz w:val="14"/>
        <w:szCs w:val="14"/>
      </w:rPr>
      <w:t>Membre de la Société de Caution Mutuelle des Professions Immobilières et Foncière sous le n° SP23942</w:t>
    </w:r>
  </w:p>
  <w:p w14:paraId="626DF73C" w14:textId="77777777" w:rsidR="00456105" w:rsidRDefault="004561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28B44" w14:textId="77777777" w:rsidR="00EE1CB3" w:rsidRDefault="00EE1CB3" w:rsidP="00456105">
      <w:pPr>
        <w:spacing w:after="0" w:line="240" w:lineRule="auto"/>
      </w:pPr>
      <w:r>
        <w:separator/>
      </w:r>
    </w:p>
  </w:footnote>
  <w:footnote w:type="continuationSeparator" w:id="0">
    <w:p w14:paraId="05DFD3E5" w14:textId="77777777" w:rsidR="00EE1CB3" w:rsidRDefault="00EE1CB3" w:rsidP="00456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F731" w14:textId="77777777" w:rsidR="00456105" w:rsidRDefault="00456105">
    <w:pPr>
      <w:pStyle w:val="En-tte"/>
    </w:pPr>
    <w:r>
      <w:rPr>
        <w:noProof/>
        <w:lang w:eastAsia="fr-FR"/>
      </w:rPr>
      <w:drawing>
        <wp:inline distT="0" distB="0" distL="0" distR="0" wp14:anchorId="626DF73D" wp14:editId="626DF73E">
          <wp:extent cx="2305050" cy="1233608"/>
          <wp:effectExtent l="0" t="0" r="0" b="5080"/>
          <wp:docPr id="1" name="Image 1" descr="C:\Users\christophe\Desktop\LOGO\nouveau CF PATRIMOINE\CF_PATRIMOINE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Desktop\LOGO\nouveau CF PATRIMOINE\CF_PATRIMOINE_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547" cy="12381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75B04"/>
    <w:multiLevelType w:val="multilevel"/>
    <w:tmpl w:val="E7C0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6353E"/>
    <w:multiLevelType w:val="hybridMultilevel"/>
    <w:tmpl w:val="D70EF0B2"/>
    <w:lvl w:ilvl="0" w:tplc="02025532">
      <w:numFmt w:val="bullet"/>
      <w:lvlText w:val="-"/>
      <w:lvlJc w:val="left"/>
      <w:pPr>
        <w:ind w:left="2484" w:hanging="360"/>
      </w:pPr>
      <w:rPr>
        <w:rFonts w:ascii="Calibri" w:eastAsiaTheme="minorHAnsi" w:hAnsi="Calibri"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972"/>
    <w:rsid w:val="00005465"/>
    <w:rsid w:val="00011592"/>
    <w:rsid w:val="000265B1"/>
    <w:rsid w:val="00027665"/>
    <w:rsid w:val="00030394"/>
    <w:rsid w:val="00032EEC"/>
    <w:rsid w:val="00032F1E"/>
    <w:rsid w:val="00043A36"/>
    <w:rsid w:val="0005648A"/>
    <w:rsid w:val="0005714A"/>
    <w:rsid w:val="0006742D"/>
    <w:rsid w:val="00073099"/>
    <w:rsid w:val="00073997"/>
    <w:rsid w:val="000763AC"/>
    <w:rsid w:val="00077C9F"/>
    <w:rsid w:val="0008066E"/>
    <w:rsid w:val="00087AB3"/>
    <w:rsid w:val="00090223"/>
    <w:rsid w:val="00090832"/>
    <w:rsid w:val="000B420E"/>
    <w:rsid w:val="000B45F3"/>
    <w:rsid w:val="000B5C4B"/>
    <w:rsid w:val="000B5E4B"/>
    <w:rsid w:val="000B6523"/>
    <w:rsid w:val="000B699F"/>
    <w:rsid w:val="000C0097"/>
    <w:rsid w:val="000D44B6"/>
    <w:rsid w:val="000E0334"/>
    <w:rsid w:val="000E20AE"/>
    <w:rsid w:val="000E6A86"/>
    <w:rsid w:val="000F5586"/>
    <w:rsid w:val="000F5CF2"/>
    <w:rsid w:val="000F5F0D"/>
    <w:rsid w:val="000F6590"/>
    <w:rsid w:val="00102287"/>
    <w:rsid w:val="001054C6"/>
    <w:rsid w:val="00122C70"/>
    <w:rsid w:val="00123B86"/>
    <w:rsid w:val="001254C1"/>
    <w:rsid w:val="00126AD7"/>
    <w:rsid w:val="00133B65"/>
    <w:rsid w:val="00142749"/>
    <w:rsid w:val="00144753"/>
    <w:rsid w:val="00145E3F"/>
    <w:rsid w:val="00154EB5"/>
    <w:rsid w:val="00163622"/>
    <w:rsid w:val="001663B5"/>
    <w:rsid w:val="00172F3A"/>
    <w:rsid w:val="00173FDC"/>
    <w:rsid w:val="001745E0"/>
    <w:rsid w:val="001760AB"/>
    <w:rsid w:val="00196BE2"/>
    <w:rsid w:val="001C08A6"/>
    <w:rsid w:val="001C344C"/>
    <w:rsid w:val="001C3721"/>
    <w:rsid w:val="001C402C"/>
    <w:rsid w:val="001C6476"/>
    <w:rsid w:val="001D332A"/>
    <w:rsid w:val="001D477F"/>
    <w:rsid w:val="001D5D9D"/>
    <w:rsid w:val="001D60B0"/>
    <w:rsid w:val="001E3A8B"/>
    <w:rsid w:val="001F044F"/>
    <w:rsid w:val="001F6434"/>
    <w:rsid w:val="0021346E"/>
    <w:rsid w:val="00213B0A"/>
    <w:rsid w:val="00216A38"/>
    <w:rsid w:val="002203F1"/>
    <w:rsid w:val="002257A9"/>
    <w:rsid w:val="002262F8"/>
    <w:rsid w:val="00235951"/>
    <w:rsid w:val="0023779E"/>
    <w:rsid w:val="00242DAB"/>
    <w:rsid w:val="002457CB"/>
    <w:rsid w:val="00246FC0"/>
    <w:rsid w:val="002475A9"/>
    <w:rsid w:val="00252CA5"/>
    <w:rsid w:val="00255B55"/>
    <w:rsid w:val="00256BC5"/>
    <w:rsid w:val="00262A3D"/>
    <w:rsid w:val="0027313B"/>
    <w:rsid w:val="00273D2B"/>
    <w:rsid w:val="00291C77"/>
    <w:rsid w:val="00292463"/>
    <w:rsid w:val="00293E4D"/>
    <w:rsid w:val="002A1484"/>
    <w:rsid w:val="002A72CB"/>
    <w:rsid w:val="002B137F"/>
    <w:rsid w:val="002B366C"/>
    <w:rsid w:val="002B6B8F"/>
    <w:rsid w:val="002B7702"/>
    <w:rsid w:val="002C14F2"/>
    <w:rsid w:val="002C35E0"/>
    <w:rsid w:val="002D0CB5"/>
    <w:rsid w:val="002D6E9B"/>
    <w:rsid w:val="002D77B9"/>
    <w:rsid w:val="002E1DFC"/>
    <w:rsid w:val="002E1F0D"/>
    <w:rsid w:val="002E1FBF"/>
    <w:rsid w:val="002E4DBF"/>
    <w:rsid w:val="002F095F"/>
    <w:rsid w:val="003036E9"/>
    <w:rsid w:val="0031369D"/>
    <w:rsid w:val="003224CB"/>
    <w:rsid w:val="00323754"/>
    <w:rsid w:val="00331A1D"/>
    <w:rsid w:val="00331C60"/>
    <w:rsid w:val="003350A2"/>
    <w:rsid w:val="00340D21"/>
    <w:rsid w:val="003444E9"/>
    <w:rsid w:val="00350DA0"/>
    <w:rsid w:val="00355060"/>
    <w:rsid w:val="00381D04"/>
    <w:rsid w:val="003919CA"/>
    <w:rsid w:val="0039416F"/>
    <w:rsid w:val="00395A7D"/>
    <w:rsid w:val="00395BCA"/>
    <w:rsid w:val="003A17A9"/>
    <w:rsid w:val="003C10D5"/>
    <w:rsid w:val="003F39C4"/>
    <w:rsid w:val="004073B1"/>
    <w:rsid w:val="0041237B"/>
    <w:rsid w:val="00416DC5"/>
    <w:rsid w:val="004210DF"/>
    <w:rsid w:val="004273E0"/>
    <w:rsid w:val="00433815"/>
    <w:rsid w:val="00435969"/>
    <w:rsid w:val="004362B5"/>
    <w:rsid w:val="00442A6B"/>
    <w:rsid w:val="00444BF7"/>
    <w:rsid w:val="00456105"/>
    <w:rsid w:val="0046108B"/>
    <w:rsid w:val="00462CA7"/>
    <w:rsid w:val="00464EA0"/>
    <w:rsid w:val="00465141"/>
    <w:rsid w:val="004659BE"/>
    <w:rsid w:val="00473DA0"/>
    <w:rsid w:val="004750FA"/>
    <w:rsid w:val="00475CA5"/>
    <w:rsid w:val="00482C46"/>
    <w:rsid w:val="00490B24"/>
    <w:rsid w:val="004A7C1A"/>
    <w:rsid w:val="004B57F8"/>
    <w:rsid w:val="004C1587"/>
    <w:rsid w:val="004C324F"/>
    <w:rsid w:val="004C4788"/>
    <w:rsid w:val="004D10CB"/>
    <w:rsid w:val="004D1E69"/>
    <w:rsid w:val="004D52A8"/>
    <w:rsid w:val="004D7C65"/>
    <w:rsid w:val="004F77B3"/>
    <w:rsid w:val="00504A4E"/>
    <w:rsid w:val="005118C3"/>
    <w:rsid w:val="00512596"/>
    <w:rsid w:val="00514DDF"/>
    <w:rsid w:val="00521189"/>
    <w:rsid w:val="005244A3"/>
    <w:rsid w:val="00530F11"/>
    <w:rsid w:val="00531ABE"/>
    <w:rsid w:val="00534D78"/>
    <w:rsid w:val="00536FAD"/>
    <w:rsid w:val="00537141"/>
    <w:rsid w:val="005374FB"/>
    <w:rsid w:val="005548DD"/>
    <w:rsid w:val="00560DB3"/>
    <w:rsid w:val="00571863"/>
    <w:rsid w:val="00572FE5"/>
    <w:rsid w:val="00574DCC"/>
    <w:rsid w:val="00577F49"/>
    <w:rsid w:val="005878AA"/>
    <w:rsid w:val="005911B1"/>
    <w:rsid w:val="005B01C6"/>
    <w:rsid w:val="005B3FA8"/>
    <w:rsid w:val="005C178D"/>
    <w:rsid w:val="005C1978"/>
    <w:rsid w:val="005D2B3E"/>
    <w:rsid w:val="005E6B2A"/>
    <w:rsid w:val="005F2236"/>
    <w:rsid w:val="00600F64"/>
    <w:rsid w:val="00601D31"/>
    <w:rsid w:val="006104F5"/>
    <w:rsid w:val="00620C7F"/>
    <w:rsid w:val="00626CEE"/>
    <w:rsid w:val="006277A7"/>
    <w:rsid w:val="00636D77"/>
    <w:rsid w:val="00643C81"/>
    <w:rsid w:val="006520B5"/>
    <w:rsid w:val="006555E3"/>
    <w:rsid w:val="00666E7D"/>
    <w:rsid w:val="0067013F"/>
    <w:rsid w:val="0068424C"/>
    <w:rsid w:val="00686F73"/>
    <w:rsid w:val="0069327D"/>
    <w:rsid w:val="006A2FBF"/>
    <w:rsid w:val="006A4BD5"/>
    <w:rsid w:val="006A5226"/>
    <w:rsid w:val="006B0C82"/>
    <w:rsid w:val="006B2467"/>
    <w:rsid w:val="006B7EE1"/>
    <w:rsid w:val="006C21DA"/>
    <w:rsid w:val="006D3AD2"/>
    <w:rsid w:val="006D4C3F"/>
    <w:rsid w:val="006E0AFD"/>
    <w:rsid w:val="006E4BB5"/>
    <w:rsid w:val="006E7776"/>
    <w:rsid w:val="007162B7"/>
    <w:rsid w:val="00716749"/>
    <w:rsid w:val="00727B4D"/>
    <w:rsid w:val="00734F9B"/>
    <w:rsid w:val="00735F69"/>
    <w:rsid w:val="00752383"/>
    <w:rsid w:val="00756C08"/>
    <w:rsid w:val="00757F93"/>
    <w:rsid w:val="00766F12"/>
    <w:rsid w:val="00771CE5"/>
    <w:rsid w:val="00776A69"/>
    <w:rsid w:val="0078321B"/>
    <w:rsid w:val="00785829"/>
    <w:rsid w:val="007922A7"/>
    <w:rsid w:val="00796488"/>
    <w:rsid w:val="007974BC"/>
    <w:rsid w:val="007A1925"/>
    <w:rsid w:val="007B3076"/>
    <w:rsid w:val="007C427B"/>
    <w:rsid w:val="007C43C8"/>
    <w:rsid w:val="007D0B25"/>
    <w:rsid w:val="007E18BE"/>
    <w:rsid w:val="007F46C1"/>
    <w:rsid w:val="007F4AFC"/>
    <w:rsid w:val="007F7FC6"/>
    <w:rsid w:val="008129D8"/>
    <w:rsid w:val="00817464"/>
    <w:rsid w:val="00821601"/>
    <w:rsid w:val="00827878"/>
    <w:rsid w:val="0083658F"/>
    <w:rsid w:val="00842E9E"/>
    <w:rsid w:val="00845FD5"/>
    <w:rsid w:val="00847BEE"/>
    <w:rsid w:val="00847F14"/>
    <w:rsid w:val="008543A1"/>
    <w:rsid w:val="008565E4"/>
    <w:rsid w:val="00861E96"/>
    <w:rsid w:val="00861EC7"/>
    <w:rsid w:val="00862372"/>
    <w:rsid w:val="008A0A33"/>
    <w:rsid w:val="008A36FA"/>
    <w:rsid w:val="008A3C81"/>
    <w:rsid w:val="008B1E66"/>
    <w:rsid w:val="008B2C52"/>
    <w:rsid w:val="008B396F"/>
    <w:rsid w:val="008D4D98"/>
    <w:rsid w:val="008D6972"/>
    <w:rsid w:val="008E2A5F"/>
    <w:rsid w:val="008E2E6B"/>
    <w:rsid w:val="008F12A6"/>
    <w:rsid w:val="009047A9"/>
    <w:rsid w:val="00904B89"/>
    <w:rsid w:val="00906FE6"/>
    <w:rsid w:val="0091485C"/>
    <w:rsid w:val="00924EFD"/>
    <w:rsid w:val="009314BD"/>
    <w:rsid w:val="00935255"/>
    <w:rsid w:val="00935B47"/>
    <w:rsid w:val="00936C8D"/>
    <w:rsid w:val="00945D8A"/>
    <w:rsid w:val="00975967"/>
    <w:rsid w:val="00982487"/>
    <w:rsid w:val="009843B1"/>
    <w:rsid w:val="00984965"/>
    <w:rsid w:val="009864B5"/>
    <w:rsid w:val="00992F14"/>
    <w:rsid w:val="00993997"/>
    <w:rsid w:val="009A0557"/>
    <w:rsid w:val="009A6E78"/>
    <w:rsid w:val="009B3991"/>
    <w:rsid w:val="009D3C6E"/>
    <w:rsid w:val="009D4256"/>
    <w:rsid w:val="009D4C8F"/>
    <w:rsid w:val="009D54C4"/>
    <w:rsid w:val="009E137E"/>
    <w:rsid w:val="009E3245"/>
    <w:rsid w:val="009E5381"/>
    <w:rsid w:val="00A0393D"/>
    <w:rsid w:val="00A25B01"/>
    <w:rsid w:val="00A30532"/>
    <w:rsid w:val="00A4083A"/>
    <w:rsid w:val="00A57FAF"/>
    <w:rsid w:val="00A6321F"/>
    <w:rsid w:val="00A6398C"/>
    <w:rsid w:val="00A7781C"/>
    <w:rsid w:val="00A80483"/>
    <w:rsid w:val="00A86DC2"/>
    <w:rsid w:val="00A912DB"/>
    <w:rsid w:val="00A92BE1"/>
    <w:rsid w:val="00A95090"/>
    <w:rsid w:val="00AA05E9"/>
    <w:rsid w:val="00AA6D90"/>
    <w:rsid w:val="00AB111E"/>
    <w:rsid w:val="00AB2915"/>
    <w:rsid w:val="00AB505C"/>
    <w:rsid w:val="00AB5D77"/>
    <w:rsid w:val="00AC2484"/>
    <w:rsid w:val="00AC3B0B"/>
    <w:rsid w:val="00AC4B46"/>
    <w:rsid w:val="00AC6AC6"/>
    <w:rsid w:val="00AC7038"/>
    <w:rsid w:val="00AC7B9E"/>
    <w:rsid w:val="00AD4FA6"/>
    <w:rsid w:val="00AD6203"/>
    <w:rsid w:val="00AE296B"/>
    <w:rsid w:val="00AE67F3"/>
    <w:rsid w:val="00AE71AC"/>
    <w:rsid w:val="00AF2BDA"/>
    <w:rsid w:val="00AF4147"/>
    <w:rsid w:val="00B02B5C"/>
    <w:rsid w:val="00B04491"/>
    <w:rsid w:val="00B04AEC"/>
    <w:rsid w:val="00B11CDC"/>
    <w:rsid w:val="00B140F8"/>
    <w:rsid w:val="00B144A4"/>
    <w:rsid w:val="00B15E52"/>
    <w:rsid w:val="00B207E7"/>
    <w:rsid w:val="00B34A53"/>
    <w:rsid w:val="00B43C9C"/>
    <w:rsid w:val="00B53E6F"/>
    <w:rsid w:val="00B54985"/>
    <w:rsid w:val="00B71F1E"/>
    <w:rsid w:val="00B76A6A"/>
    <w:rsid w:val="00B80517"/>
    <w:rsid w:val="00B80CA8"/>
    <w:rsid w:val="00B8119F"/>
    <w:rsid w:val="00B90742"/>
    <w:rsid w:val="00B951E9"/>
    <w:rsid w:val="00BA5453"/>
    <w:rsid w:val="00BA5E75"/>
    <w:rsid w:val="00BB4337"/>
    <w:rsid w:val="00BB5DA4"/>
    <w:rsid w:val="00BB7A77"/>
    <w:rsid w:val="00BD4C5E"/>
    <w:rsid w:val="00BD4F44"/>
    <w:rsid w:val="00BE7A10"/>
    <w:rsid w:val="00BF379C"/>
    <w:rsid w:val="00C120D9"/>
    <w:rsid w:val="00C305A0"/>
    <w:rsid w:val="00C319A0"/>
    <w:rsid w:val="00C31D7B"/>
    <w:rsid w:val="00C326AD"/>
    <w:rsid w:val="00C3293C"/>
    <w:rsid w:val="00C50A8F"/>
    <w:rsid w:val="00C542E6"/>
    <w:rsid w:val="00C65F6E"/>
    <w:rsid w:val="00C66F5A"/>
    <w:rsid w:val="00C727BA"/>
    <w:rsid w:val="00C730E8"/>
    <w:rsid w:val="00C76543"/>
    <w:rsid w:val="00C87220"/>
    <w:rsid w:val="00C907F3"/>
    <w:rsid w:val="00C927E1"/>
    <w:rsid w:val="00CA5655"/>
    <w:rsid w:val="00CB41A5"/>
    <w:rsid w:val="00CB7F0A"/>
    <w:rsid w:val="00CC2229"/>
    <w:rsid w:val="00CC2CF9"/>
    <w:rsid w:val="00CC692D"/>
    <w:rsid w:val="00CD2905"/>
    <w:rsid w:val="00CE1136"/>
    <w:rsid w:val="00CE3451"/>
    <w:rsid w:val="00CE7A07"/>
    <w:rsid w:val="00CF191C"/>
    <w:rsid w:val="00CF4CC1"/>
    <w:rsid w:val="00D047D7"/>
    <w:rsid w:val="00D0671B"/>
    <w:rsid w:val="00D13F3F"/>
    <w:rsid w:val="00D158A3"/>
    <w:rsid w:val="00D20980"/>
    <w:rsid w:val="00D209FB"/>
    <w:rsid w:val="00D3119F"/>
    <w:rsid w:val="00D465A5"/>
    <w:rsid w:val="00D57651"/>
    <w:rsid w:val="00D7283C"/>
    <w:rsid w:val="00D85B5D"/>
    <w:rsid w:val="00D913BD"/>
    <w:rsid w:val="00DA21C6"/>
    <w:rsid w:val="00DA534B"/>
    <w:rsid w:val="00DA60B0"/>
    <w:rsid w:val="00DB1841"/>
    <w:rsid w:val="00DB1C24"/>
    <w:rsid w:val="00DB7391"/>
    <w:rsid w:val="00DC0478"/>
    <w:rsid w:val="00DD3C71"/>
    <w:rsid w:val="00DF277E"/>
    <w:rsid w:val="00DF7FA9"/>
    <w:rsid w:val="00E05D16"/>
    <w:rsid w:val="00E1507A"/>
    <w:rsid w:val="00E17DB8"/>
    <w:rsid w:val="00E247AA"/>
    <w:rsid w:val="00E26232"/>
    <w:rsid w:val="00E27774"/>
    <w:rsid w:val="00E30C65"/>
    <w:rsid w:val="00E31A70"/>
    <w:rsid w:val="00E42FA1"/>
    <w:rsid w:val="00E456BC"/>
    <w:rsid w:val="00E523BE"/>
    <w:rsid w:val="00E5329F"/>
    <w:rsid w:val="00E53886"/>
    <w:rsid w:val="00E560B7"/>
    <w:rsid w:val="00E62059"/>
    <w:rsid w:val="00E67AF5"/>
    <w:rsid w:val="00E70C6E"/>
    <w:rsid w:val="00E904D3"/>
    <w:rsid w:val="00E95404"/>
    <w:rsid w:val="00E973E8"/>
    <w:rsid w:val="00EA71EC"/>
    <w:rsid w:val="00EB1501"/>
    <w:rsid w:val="00ED1619"/>
    <w:rsid w:val="00ED5E0F"/>
    <w:rsid w:val="00EE11CC"/>
    <w:rsid w:val="00EE1CB3"/>
    <w:rsid w:val="00EE2506"/>
    <w:rsid w:val="00EE40CF"/>
    <w:rsid w:val="00EF5B6C"/>
    <w:rsid w:val="00F0191F"/>
    <w:rsid w:val="00F022BD"/>
    <w:rsid w:val="00F0474E"/>
    <w:rsid w:val="00F05E32"/>
    <w:rsid w:val="00F116F8"/>
    <w:rsid w:val="00F12D81"/>
    <w:rsid w:val="00F16424"/>
    <w:rsid w:val="00F23881"/>
    <w:rsid w:val="00F26B62"/>
    <w:rsid w:val="00F310EF"/>
    <w:rsid w:val="00F37C04"/>
    <w:rsid w:val="00F47D09"/>
    <w:rsid w:val="00F502B2"/>
    <w:rsid w:val="00F523A9"/>
    <w:rsid w:val="00F55D68"/>
    <w:rsid w:val="00F65159"/>
    <w:rsid w:val="00F76C03"/>
    <w:rsid w:val="00F82D02"/>
    <w:rsid w:val="00FA1E78"/>
    <w:rsid w:val="00FA4135"/>
    <w:rsid w:val="00FB0731"/>
    <w:rsid w:val="00FB3529"/>
    <w:rsid w:val="00FC1D39"/>
    <w:rsid w:val="00FC2973"/>
    <w:rsid w:val="00FC6505"/>
    <w:rsid w:val="00FD2E48"/>
    <w:rsid w:val="00FD3D88"/>
    <w:rsid w:val="00FF0AE5"/>
    <w:rsid w:val="00FF14C6"/>
    <w:rsid w:val="00FF1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F70B"/>
  <w15:docId w15:val="{76152C57-B0F0-4A61-BBB2-98D37C1A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D6972"/>
    <w:rPr>
      <w:color w:val="0000FF" w:themeColor="hyperlink"/>
      <w:u w:val="single"/>
    </w:rPr>
  </w:style>
  <w:style w:type="paragraph" w:styleId="NormalWeb">
    <w:name w:val="Normal (Web)"/>
    <w:basedOn w:val="Normal"/>
    <w:uiPriority w:val="99"/>
    <w:semiHidden/>
    <w:unhideWhenUsed/>
    <w:rsid w:val="008D697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D6972"/>
    <w:pPr>
      <w:ind w:left="720"/>
      <w:contextualSpacing/>
    </w:pPr>
  </w:style>
  <w:style w:type="paragraph" w:styleId="En-tte">
    <w:name w:val="header"/>
    <w:basedOn w:val="Normal"/>
    <w:link w:val="En-tteCar"/>
    <w:uiPriority w:val="99"/>
    <w:unhideWhenUsed/>
    <w:rsid w:val="00456105"/>
    <w:pPr>
      <w:tabs>
        <w:tab w:val="center" w:pos="4536"/>
        <w:tab w:val="right" w:pos="9072"/>
      </w:tabs>
      <w:spacing w:after="0" w:line="240" w:lineRule="auto"/>
    </w:pPr>
  </w:style>
  <w:style w:type="character" w:customStyle="1" w:styleId="En-tteCar">
    <w:name w:val="En-tête Car"/>
    <w:basedOn w:val="Policepardfaut"/>
    <w:link w:val="En-tte"/>
    <w:uiPriority w:val="99"/>
    <w:rsid w:val="00456105"/>
  </w:style>
  <w:style w:type="paragraph" w:styleId="Pieddepage">
    <w:name w:val="footer"/>
    <w:basedOn w:val="Normal"/>
    <w:link w:val="PieddepageCar"/>
    <w:uiPriority w:val="99"/>
    <w:unhideWhenUsed/>
    <w:rsid w:val="004561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6105"/>
  </w:style>
  <w:style w:type="paragraph" w:styleId="Textedebulles">
    <w:name w:val="Balloon Text"/>
    <w:basedOn w:val="Normal"/>
    <w:link w:val="TextedebullesCar"/>
    <w:uiPriority w:val="99"/>
    <w:semiHidden/>
    <w:unhideWhenUsed/>
    <w:rsid w:val="004561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6105"/>
    <w:rPr>
      <w:rFonts w:ascii="Tahoma" w:hAnsi="Tahoma" w:cs="Tahoma"/>
      <w:sz w:val="16"/>
      <w:szCs w:val="16"/>
    </w:rPr>
  </w:style>
  <w:style w:type="paragraph" w:styleId="Sansinterligne">
    <w:name w:val="No Spacing"/>
    <w:uiPriority w:val="1"/>
    <w:qFormat/>
    <w:rsid w:val="003F39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6223">
      <w:bodyDiv w:val="1"/>
      <w:marLeft w:val="0"/>
      <w:marRight w:val="0"/>
      <w:marTop w:val="0"/>
      <w:marBottom w:val="0"/>
      <w:divBdr>
        <w:top w:val="none" w:sz="0" w:space="0" w:color="auto"/>
        <w:left w:val="none" w:sz="0" w:space="0" w:color="auto"/>
        <w:bottom w:val="none" w:sz="0" w:space="0" w:color="auto"/>
        <w:right w:val="none" w:sz="0" w:space="0" w:color="auto"/>
      </w:divBdr>
    </w:div>
    <w:div w:id="454519764">
      <w:bodyDiv w:val="1"/>
      <w:marLeft w:val="0"/>
      <w:marRight w:val="0"/>
      <w:marTop w:val="0"/>
      <w:marBottom w:val="0"/>
      <w:divBdr>
        <w:top w:val="none" w:sz="0" w:space="0" w:color="auto"/>
        <w:left w:val="none" w:sz="0" w:space="0" w:color="auto"/>
        <w:bottom w:val="none" w:sz="0" w:space="0" w:color="auto"/>
        <w:right w:val="none" w:sz="0" w:space="0" w:color="auto"/>
      </w:divBdr>
    </w:div>
    <w:div w:id="1011638092">
      <w:bodyDiv w:val="1"/>
      <w:marLeft w:val="0"/>
      <w:marRight w:val="0"/>
      <w:marTop w:val="0"/>
      <w:marBottom w:val="0"/>
      <w:divBdr>
        <w:top w:val="none" w:sz="0" w:space="0" w:color="auto"/>
        <w:left w:val="none" w:sz="0" w:space="0" w:color="auto"/>
        <w:bottom w:val="none" w:sz="0" w:space="0" w:color="auto"/>
        <w:right w:val="none" w:sz="0" w:space="0" w:color="auto"/>
      </w:divBdr>
      <w:divsChild>
        <w:div w:id="361134213">
          <w:marLeft w:val="0"/>
          <w:marRight w:val="0"/>
          <w:marTop w:val="0"/>
          <w:marBottom w:val="0"/>
          <w:divBdr>
            <w:top w:val="none" w:sz="0" w:space="0" w:color="auto"/>
            <w:left w:val="none" w:sz="0" w:space="0" w:color="auto"/>
            <w:bottom w:val="none" w:sz="0" w:space="0" w:color="auto"/>
            <w:right w:val="none" w:sz="0" w:space="0" w:color="auto"/>
          </w:divBdr>
          <w:divsChild>
            <w:div w:id="5163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k:@MSITStore:C:\Program%20Files%20(x86)\ID%20Software\Platinium\aide\platinium.chm::/fiscalit&#233;/Besson/Plafonds%20et%20indices.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k:@MSITStore:C:\Program%20Files%20(x86)\ID%20Software\Platinium\aide\platinium.chm::/fiscalit&#233;/Besson/Plafonds%20et%20indice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rias.fr" TargetMode="External"/><Relationship Id="rId1" Type="http://schemas.openxmlformats.org/officeDocument/2006/relationships/hyperlink" Target="mailto:christophe.aupy-fargues@cf-patrimo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4E83F69F6D454EAD455A55EC320F67" ma:contentTypeVersion="6" ma:contentTypeDescription="Crée un document." ma:contentTypeScope="" ma:versionID="e6f4e30bc5ad096abca88393f1dbdc73">
  <xsd:schema xmlns:xsd="http://www.w3.org/2001/XMLSchema" xmlns:xs="http://www.w3.org/2001/XMLSchema" xmlns:p="http://schemas.microsoft.com/office/2006/metadata/properties" xmlns:ns2="f027d508-d2ad-451a-a459-794027706e6f" targetNamespace="http://schemas.microsoft.com/office/2006/metadata/properties" ma:root="true" ma:fieldsID="3dd8dfaa39fc615d41bd52882d87076f" ns2:_="">
    <xsd:import namespace="f027d508-d2ad-451a-a459-794027706e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7d508-d2ad-451a-a459-794027706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EA0C9-9DE1-4BF4-B88B-A40476ACEAF3}"/>
</file>

<file path=customXml/itemProps2.xml><?xml version="1.0" encoding="utf-8"?>
<ds:datastoreItem xmlns:ds="http://schemas.openxmlformats.org/officeDocument/2006/customXml" ds:itemID="{162AA199-D0CC-4D9A-81F8-245C5B9D3D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3605B0-C35C-4055-9208-9AFFC316E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739</Words>
  <Characters>4070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dc:creator>
  <cp:lastModifiedBy>Christophe AUPY FARGUES</cp:lastModifiedBy>
  <cp:revision>8</cp:revision>
  <cp:lastPrinted>2017-12-11T12:44:00Z</cp:lastPrinted>
  <dcterms:created xsi:type="dcterms:W3CDTF">2016-01-14T11:48:00Z</dcterms:created>
  <dcterms:modified xsi:type="dcterms:W3CDTF">2019-05-06T08:00:00Z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vt:lpwstr>
  </property>
  <property fmtid="{D5CDD505-2E9C-101B-9397-08002B2CF9AE}" pid="3" name="ContentTypeId">
    <vt:lpwstr>0x010100494E83F69F6D454EAD455A55EC320F67</vt:lpwstr>
  </property>
</Properties>
</file>